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7B" w:rsidRPr="009517B4" w:rsidRDefault="009517B4" w:rsidP="00A86746">
      <w:pPr>
        <w:pStyle w:val="BodyText"/>
        <w:rPr>
          <w:rFonts w:ascii="Arial" w:hAnsi="Arial"/>
          <w:b/>
          <w:sz w:val="24"/>
          <w:szCs w:val="24"/>
        </w:rPr>
      </w:pP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sidRPr="009517B4">
        <w:rPr>
          <w:rFonts w:ascii="Arial" w:hAnsi="Arial"/>
          <w:b/>
          <w:sz w:val="24"/>
          <w:szCs w:val="24"/>
        </w:rPr>
        <w:t>Appendix 'A'</w:t>
      </w:r>
    </w:p>
    <w:p w:rsidR="00D77E7B" w:rsidRDefault="00D77E7B" w:rsidP="00A86746">
      <w:pPr>
        <w:pStyle w:val="BodyText"/>
        <w:rPr>
          <w:rFonts w:ascii="Arial" w:hAnsi="Arial"/>
          <w:b/>
          <w:sz w:val="32"/>
          <w:szCs w:val="32"/>
        </w:rPr>
      </w:pPr>
    </w:p>
    <w:p w:rsidR="00D77E7B" w:rsidRPr="008816D0" w:rsidRDefault="00D77E7B" w:rsidP="00A86746">
      <w:pPr>
        <w:pStyle w:val="BodyText"/>
        <w:rPr>
          <w:rFonts w:ascii="Arial" w:hAnsi="Arial"/>
          <w:b/>
          <w:sz w:val="32"/>
          <w:szCs w:val="32"/>
        </w:rPr>
      </w:pPr>
      <w:smartTag w:uri="urn:schemas-microsoft-com:office:smarttags" w:element="place">
        <w:r w:rsidRPr="008816D0">
          <w:rPr>
            <w:rFonts w:ascii="Arial" w:hAnsi="Arial"/>
            <w:b/>
            <w:sz w:val="32"/>
            <w:szCs w:val="32"/>
          </w:rPr>
          <w:t>Lancashire</w:t>
        </w:r>
      </w:smartTag>
      <w:r w:rsidRPr="008816D0">
        <w:rPr>
          <w:rFonts w:ascii="Arial" w:hAnsi="Arial"/>
          <w:b/>
          <w:sz w:val="32"/>
          <w:szCs w:val="32"/>
        </w:rPr>
        <w:t xml:space="preserve"> County Council</w:t>
      </w:r>
      <w:r>
        <w:rPr>
          <w:rFonts w:ascii="Arial" w:hAnsi="Arial"/>
          <w:b/>
          <w:sz w:val="32"/>
          <w:szCs w:val="32"/>
        </w:rPr>
        <w:t>: Pension Fund</w:t>
      </w:r>
    </w:p>
    <w:p w:rsidR="00D77E7B" w:rsidRPr="008816D0" w:rsidRDefault="00D77E7B" w:rsidP="00A86746">
      <w:pPr>
        <w:pStyle w:val="BodyText"/>
        <w:rPr>
          <w:rFonts w:ascii="Arial" w:hAnsi="Arial"/>
          <w:b/>
          <w:sz w:val="32"/>
          <w:szCs w:val="32"/>
        </w:rPr>
      </w:pPr>
      <w:r w:rsidRPr="008816D0">
        <w:rPr>
          <w:rFonts w:ascii="Arial" w:hAnsi="Arial"/>
          <w:b/>
          <w:sz w:val="32"/>
          <w:szCs w:val="32"/>
        </w:rPr>
        <w:t>Internal Audit Service</w:t>
      </w:r>
    </w:p>
    <w:p w:rsidR="00D77E7B" w:rsidRDefault="00D77E7B" w:rsidP="00A86746">
      <w:pPr>
        <w:pStyle w:val="BodyText"/>
        <w:rPr>
          <w:rFonts w:ascii="Arial" w:hAnsi="Arial"/>
          <w:b/>
          <w:sz w:val="32"/>
          <w:szCs w:val="32"/>
        </w:rPr>
      </w:pPr>
      <w:r w:rsidRPr="008816D0">
        <w:rPr>
          <w:rFonts w:ascii="Arial" w:hAnsi="Arial"/>
          <w:b/>
          <w:sz w:val="32"/>
          <w:szCs w:val="32"/>
        </w:rPr>
        <w:t>Annual report</w:t>
      </w:r>
      <w:r>
        <w:rPr>
          <w:rFonts w:ascii="Arial" w:hAnsi="Arial"/>
          <w:b/>
          <w:sz w:val="32"/>
          <w:szCs w:val="32"/>
        </w:rPr>
        <w:t xml:space="preserve"> for the year ended 31 March 201</w:t>
      </w:r>
      <w:r w:rsidR="002F4E07">
        <w:rPr>
          <w:rFonts w:ascii="Arial" w:hAnsi="Arial"/>
          <w:b/>
          <w:sz w:val="32"/>
          <w:szCs w:val="32"/>
        </w:rPr>
        <w:t>3</w:t>
      </w:r>
      <w:r w:rsidR="00A5548F">
        <w:rPr>
          <w:rFonts w:ascii="Arial" w:hAnsi="Arial"/>
          <w:b/>
          <w:sz w:val="32"/>
          <w:szCs w:val="32"/>
        </w:rPr>
        <w:t>,</w:t>
      </w:r>
    </w:p>
    <w:p w:rsidR="00A5548F" w:rsidRDefault="00A5548F" w:rsidP="00A86746">
      <w:pPr>
        <w:pStyle w:val="BodyText"/>
        <w:rPr>
          <w:rFonts w:ascii="Arial" w:hAnsi="Arial"/>
          <w:b/>
          <w:sz w:val="32"/>
          <w:szCs w:val="32"/>
        </w:rPr>
      </w:pPr>
      <w:proofErr w:type="gramStart"/>
      <w:r>
        <w:rPr>
          <w:rFonts w:ascii="Arial" w:hAnsi="Arial"/>
          <w:b/>
          <w:sz w:val="32"/>
          <w:szCs w:val="32"/>
        </w:rPr>
        <w:t>including</w:t>
      </w:r>
      <w:proofErr w:type="gramEnd"/>
      <w:r>
        <w:rPr>
          <w:rFonts w:ascii="Arial" w:hAnsi="Arial"/>
          <w:b/>
          <w:sz w:val="32"/>
          <w:szCs w:val="32"/>
        </w:rPr>
        <w:t xml:space="preserve"> the proposed internal audit plan 201</w:t>
      </w:r>
      <w:r w:rsidR="002F4E07">
        <w:rPr>
          <w:rFonts w:ascii="Arial" w:hAnsi="Arial"/>
          <w:b/>
          <w:sz w:val="32"/>
          <w:szCs w:val="32"/>
        </w:rPr>
        <w:t>3</w:t>
      </w:r>
      <w:r>
        <w:rPr>
          <w:rFonts w:ascii="Arial" w:hAnsi="Arial"/>
          <w:b/>
          <w:sz w:val="32"/>
          <w:szCs w:val="32"/>
        </w:rPr>
        <w:t>/1</w:t>
      </w:r>
      <w:r w:rsidR="002F4E07">
        <w:rPr>
          <w:rFonts w:ascii="Arial" w:hAnsi="Arial"/>
          <w:b/>
          <w:sz w:val="32"/>
          <w:szCs w:val="32"/>
        </w:rPr>
        <w:t>4</w:t>
      </w: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A86746">
      <w:pPr>
        <w:pStyle w:val="BodyText"/>
        <w:rPr>
          <w:rFonts w:ascii="Arial" w:hAnsi="Arial"/>
          <w:b/>
          <w:sz w:val="32"/>
          <w:szCs w:val="32"/>
        </w:rPr>
      </w:pPr>
    </w:p>
    <w:p w:rsidR="00D77E7B" w:rsidRDefault="00D77E7B" w:rsidP="006A62CA">
      <w:pPr>
        <w:pStyle w:val="BodyText"/>
        <w:jc w:val="right"/>
        <w:rPr>
          <w:rFonts w:ascii="Arial" w:hAnsi="Arial"/>
          <w:b/>
          <w:sz w:val="32"/>
          <w:szCs w:val="32"/>
        </w:rPr>
      </w:pPr>
    </w:p>
    <w:p w:rsidR="00D77E7B" w:rsidRDefault="00FC348D" w:rsidP="006A62CA">
      <w:pPr>
        <w:pStyle w:val="BodyText"/>
        <w:ind w:left="4320" w:firstLine="720"/>
        <w:rPr>
          <w:rFonts w:ascii="Arial" w:hAnsi="Arial"/>
          <w:b/>
          <w:sz w:val="32"/>
          <w:szCs w:val="32"/>
        </w:rPr>
      </w:pPr>
      <w:r>
        <w:rPr>
          <w:b/>
          <w:noProof/>
          <w:position w:val="100"/>
          <w:sz w:val="28"/>
          <w:szCs w:val="28"/>
          <w:lang w:eastAsia="en-GB"/>
        </w:rPr>
        <w:drawing>
          <wp:inline distT="0" distB="0" distL="0" distR="0">
            <wp:extent cx="2333625" cy="1162050"/>
            <wp:effectExtent l="19050" t="0" r="9525" b="0"/>
            <wp:docPr id="1" name="Picture 1" descr="LCC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for A4"/>
                    <pic:cNvPicPr>
                      <a:picLocks noChangeAspect="1" noChangeArrowheads="1"/>
                    </pic:cNvPicPr>
                  </pic:nvPicPr>
                  <pic:blipFill>
                    <a:blip r:embed="rId7"/>
                    <a:srcRect/>
                    <a:stretch>
                      <a:fillRect/>
                    </a:stretch>
                  </pic:blipFill>
                  <pic:spPr bwMode="auto">
                    <a:xfrm>
                      <a:off x="0" y="0"/>
                      <a:ext cx="2333625" cy="1162050"/>
                    </a:xfrm>
                    <a:prstGeom prst="rect">
                      <a:avLst/>
                    </a:prstGeom>
                    <a:noFill/>
                    <a:ln w="9525">
                      <a:noFill/>
                      <a:miter lim="800000"/>
                      <a:headEnd/>
                      <a:tailEnd/>
                    </a:ln>
                  </pic:spPr>
                </pic:pic>
              </a:graphicData>
            </a:graphic>
          </wp:inline>
        </w:drawing>
      </w:r>
    </w:p>
    <w:p w:rsidR="00D77E7B" w:rsidRDefault="00D77E7B" w:rsidP="00A86746">
      <w:pPr>
        <w:pStyle w:val="BodyText"/>
        <w:rPr>
          <w:rFonts w:ascii="Arial" w:hAnsi="Arial"/>
          <w:b/>
          <w:sz w:val="32"/>
          <w:szCs w:val="32"/>
        </w:rPr>
      </w:pPr>
    </w:p>
    <w:p w:rsidR="00D77E7B" w:rsidRPr="008816D0" w:rsidRDefault="00D77E7B" w:rsidP="00A86746">
      <w:pPr>
        <w:pStyle w:val="BodyText"/>
        <w:rPr>
          <w:rFonts w:ascii="Arial" w:hAnsi="Arial"/>
          <w:b/>
          <w:sz w:val="32"/>
          <w:szCs w:val="32"/>
        </w:rPr>
        <w:sectPr w:rsidR="00D77E7B" w:rsidRPr="008816D0" w:rsidSect="00C57A1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titlePg/>
          <w:docGrid w:linePitch="360"/>
        </w:sectPr>
      </w:pP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p>
    <w:p w:rsidR="00D77E7B" w:rsidRDefault="00D77E7B" w:rsidP="00E14CA2">
      <w:pPr>
        <w:pStyle w:val="BodyText"/>
        <w:rPr>
          <w:rFonts w:ascii="Arial" w:hAnsi="Arial"/>
          <w:b/>
          <w:sz w:val="24"/>
        </w:rPr>
      </w:pPr>
    </w:p>
    <w:p w:rsidR="00D77E7B" w:rsidRPr="00344BD8" w:rsidRDefault="00D77E7B" w:rsidP="00E14CA2">
      <w:pPr>
        <w:pBdr>
          <w:top w:val="single" w:sz="4" w:space="1" w:color="auto"/>
          <w:left w:val="single" w:sz="4" w:space="4" w:color="auto"/>
          <w:bottom w:val="single" w:sz="4" w:space="1" w:color="auto"/>
          <w:right w:val="single" w:sz="4" w:space="4" w:color="auto"/>
        </w:pBdr>
        <w:jc w:val="center"/>
        <w:rPr>
          <w:rFonts w:ascii="Arial" w:hAnsi="Arial" w:cs="Arial"/>
          <w:i/>
          <w:sz w:val="24"/>
          <w:szCs w:val="24"/>
        </w:rPr>
      </w:pPr>
      <w:r w:rsidRPr="00344BD8">
        <w:rPr>
          <w:rFonts w:ascii="Arial" w:hAnsi="Arial" w:cs="Arial"/>
          <w:i/>
          <w:sz w:val="24"/>
          <w:szCs w:val="24"/>
        </w:rPr>
        <w:t>Contents</w:t>
      </w:r>
    </w:p>
    <w:p w:rsidR="00D77E7B" w:rsidRPr="00344BD8" w:rsidRDefault="00D77E7B" w:rsidP="00E14CA2">
      <w:pPr>
        <w:pBdr>
          <w:top w:val="single" w:sz="4" w:space="1" w:color="auto"/>
          <w:left w:val="single" w:sz="4" w:space="4" w:color="auto"/>
          <w:bottom w:val="single" w:sz="4" w:space="1" w:color="auto"/>
          <w:right w:val="single" w:sz="4" w:space="4" w:color="auto"/>
        </w:pBdr>
        <w:rPr>
          <w:rFonts w:ascii="Arial" w:hAnsi="Arial" w:cs="Arial"/>
          <w:sz w:val="24"/>
          <w:szCs w:val="24"/>
        </w:rPr>
      </w:pPr>
    </w:p>
    <w:p w:rsidR="00D77E7B" w:rsidRPr="00344BD8" w:rsidRDefault="00D77E7B" w:rsidP="00E14CA2">
      <w:pPr>
        <w:pBdr>
          <w:top w:val="single" w:sz="4" w:space="1" w:color="auto"/>
          <w:left w:val="single" w:sz="4" w:space="4" w:color="auto"/>
          <w:bottom w:val="single" w:sz="4" w:space="1" w:color="auto"/>
          <w:right w:val="single" w:sz="4" w:space="4" w:color="auto"/>
        </w:pBdr>
        <w:rPr>
          <w:rFonts w:ascii="Arial" w:hAnsi="Arial" w:cs="Arial"/>
          <w:sz w:val="24"/>
          <w:szCs w:val="24"/>
        </w:rPr>
      </w:pPr>
    </w:p>
    <w:p w:rsidR="00D77E7B" w:rsidRPr="00554D20" w:rsidRDefault="00D77E7B" w:rsidP="008F1D7B">
      <w:pPr>
        <w:numPr>
          <w:ilvl w:val="0"/>
          <w:numId w:val="14"/>
        </w:num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r w:rsidRPr="008F1D7B">
        <w:rPr>
          <w:rFonts w:ascii="Arial" w:hAnsi="Arial" w:cs="Arial"/>
          <w:sz w:val="24"/>
          <w:szCs w:val="24"/>
        </w:rPr>
        <w:t>Introduction</w:t>
      </w:r>
      <w:r w:rsidR="003060AE">
        <w:rPr>
          <w:rFonts w:ascii="Arial" w:hAnsi="Arial" w:cs="Arial"/>
          <w:sz w:val="24"/>
          <w:szCs w:val="24"/>
        </w:rPr>
        <w:tab/>
        <w:t>1</w:t>
      </w:r>
      <w:r w:rsidR="00AC4688" w:rsidRPr="008F1D7B">
        <w:rPr>
          <w:rFonts w:ascii="Arial" w:hAnsi="Arial" w:cs="Arial"/>
          <w:sz w:val="24"/>
          <w:szCs w:val="24"/>
        </w:rPr>
        <w:tab/>
      </w:r>
    </w:p>
    <w:p w:rsidR="00D77E7B" w:rsidRPr="00554D20" w:rsidRDefault="00D77E7B" w:rsidP="00E14CA2">
      <w:pPr>
        <w:numPr>
          <w:ilvl w:val="0"/>
          <w:numId w:val="14"/>
        </w:num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r w:rsidRPr="00554D20">
        <w:rPr>
          <w:rFonts w:ascii="Arial" w:hAnsi="Arial" w:cs="Arial"/>
          <w:sz w:val="24"/>
          <w:szCs w:val="24"/>
        </w:rPr>
        <w:t>Assessment of internal controls</w:t>
      </w:r>
      <w:r w:rsidR="003060AE">
        <w:rPr>
          <w:rFonts w:ascii="Arial" w:hAnsi="Arial" w:cs="Arial"/>
          <w:sz w:val="24"/>
          <w:szCs w:val="24"/>
        </w:rPr>
        <w:tab/>
        <w:t>1</w:t>
      </w:r>
      <w:r w:rsidR="008F1D7B">
        <w:rPr>
          <w:rFonts w:ascii="Arial" w:hAnsi="Arial" w:cs="Arial"/>
          <w:sz w:val="24"/>
          <w:szCs w:val="24"/>
        </w:rPr>
        <w:tab/>
      </w:r>
      <w:r w:rsidRPr="00554D20">
        <w:rPr>
          <w:rFonts w:ascii="Arial" w:hAnsi="Arial" w:cs="Arial"/>
          <w:sz w:val="24"/>
          <w:szCs w:val="24"/>
        </w:rPr>
        <w:tab/>
      </w:r>
    </w:p>
    <w:p w:rsidR="00D77E7B" w:rsidRPr="00554D20" w:rsidRDefault="00D77E7B" w:rsidP="00E14CA2">
      <w:pPr>
        <w:numPr>
          <w:ilvl w:val="0"/>
          <w:numId w:val="14"/>
        </w:num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r w:rsidRPr="00554D20">
        <w:rPr>
          <w:rFonts w:ascii="Arial" w:hAnsi="Arial" w:cs="Arial"/>
          <w:sz w:val="24"/>
          <w:szCs w:val="24"/>
        </w:rPr>
        <w:t>Internal audit work undertaken</w:t>
      </w:r>
      <w:r w:rsidR="003060AE">
        <w:rPr>
          <w:rFonts w:ascii="Arial" w:hAnsi="Arial" w:cs="Arial"/>
          <w:sz w:val="24"/>
          <w:szCs w:val="24"/>
        </w:rPr>
        <w:tab/>
        <w:t>3</w:t>
      </w:r>
      <w:r w:rsidRPr="00554D20">
        <w:rPr>
          <w:rFonts w:ascii="Arial" w:hAnsi="Arial" w:cs="Arial"/>
          <w:sz w:val="24"/>
          <w:szCs w:val="24"/>
        </w:rPr>
        <w:tab/>
      </w:r>
    </w:p>
    <w:p w:rsidR="00A86A55" w:rsidRDefault="00A86A55" w:rsidP="00E14CA2">
      <w:pPr>
        <w:numPr>
          <w:ilvl w:val="0"/>
          <w:numId w:val="14"/>
        </w:num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r>
        <w:rPr>
          <w:rFonts w:ascii="Arial" w:hAnsi="Arial" w:cs="Arial"/>
          <w:sz w:val="24"/>
          <w:szCs w:val="24"/>
        </w:rPr>
        <w:t>Internal audit plan 201</w:t>
      </w:r>
      <w:r w:rsidR="008B76E0">
        <w:rPr>
          <w:rFonts w:ascii="Arial" w:hAnsi="Arial" w:cs="Arial"/>
          <w:sz w:val="24"/>
          <w:szCs w:val="24"/>
        </w:rPr>
        <w:t>3</w:t>
      </w:r>
      <w:r>
        <w:rPr>
          <w:rFonts w:ascii="Arial" w:hAnsi="Arial" w:cs="Arial"/>
          <w:sz w:val="24"/>
          <w:szCs w:val="24"/>
        </w:rPr>
        <w:t>/1</w:t>
      </w:r>
      <w:r w:rsidR="008B76E0">
        <w:rPr>
          <w:rFonts w:ascii="Arial" w:hAnsi="Arial" w:cs="Arial"/>
          <w:sz w:val="24"/>
          <w:szCs w:val="24"/>
        </w:rPr>
        <w:t>4</w:t>
      </w:r>
      <w:r w:rsidR="003060AE">
        <w:rPr>
          <w:rFonts w:ascii="Arial" w:hAnsi="Arial" w:cs="Arial"/>
          <w:sz w:val="24"/>
          <w:szCs w:val="24"/>
        </w:rPr>
        <w:tab/>
        <w:t>3</w:t>
      </w:r>
      <w:r w:rsidR="008F1D7B">
        <w:rPr>
          <w:rFonts w:ascii="Arial" w:hAnsi="Arial" w:cs="Arial"/>
          <w:sz w:val="24"/>
          <w:szCs w:val="24"/>
        </w:rPr>
        <w:tab/>
      </w:r>
    </w:p>
    <w:p w:rsidR="00D77E7B" w:rsidRPr="00554D20" w:rsidRDefault="00D77E7B" w:rsidP="00E14CA2">
      <w:pPr>
        <w:numPr>
          <w:ilvl w:val="0"/>
          <w:numId w:val="14"/>
        </w:num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r w:rsidRPr="00554D20">
        <w:rPr>
          <w:rFonts w:ascii="Arial" w:hAnsi="Arial" w:cs="Arial"/>
          <w:sz w:val="24"/>
          <w:szCs w:val="24"/>
        </w:rPr>
        <w:t>Scope, responsibilities and assurance</w:t>
      </w:r>
      <w:r w:rsidR="003060AE">
        <w:rPr>
          <w:rFonts w:ascii="Arial" w:hAnsi="Arial" w:cs="Arial"/>
          <w:sz w:val="24"/>
          <w:szCs w:val="24"/>
        </w:rPr>
        <w:tab/>
        <w:t>5</w:t>
      </w:r>
      <w:r w:rsidRPr="00554D20">
        <w:rPr>
          <w:rFonts w:ascii="Arial" w:hAnsi="Arial" w:cs="Arial"/>
          <w:sz w:val="24"/>
          <w:szCs w:val="24"/>
        </w:rPr>
        <w:tab/>
      </w:r>
    </w:p>
    <w:p w:rsidR="00D77E7B" w:rsidRPr="00554D20" w:rsidRDefault="00D77E7B" w:rsidP="00E14CA2">
      <w:pPr>
        <w:numPr>
          <w:ilvl w:val="0"/>
          <w:numId w:val="14"/>
        </w:numPr>
        <w:pBdr>
          <w:top w:val="single" w:sz="4" w:space="1" w:color="auto"/>
          <w:left w:val="single" w:sz="4" w:space="4" w:color="auto"/>
          <w:bottom w:val="single" w:sz="4" w:space="1" w:color="auto"/>
          <w:right w:val="single" w:sz="4" w:space="4" w:color="auto"/>
        </w:pBdr>
        <w:tabs>
          <w:tab w:val="decimal" w:pos="6840"/>
        </w:tabs>
        <w:spacing w:line="240" w:lineRule="auto"/>
        <w:rPr>
          <w:rFonts w:ascii="Arial" w:hAnsi="Arial" w:cs="Arial"/>
          <w:sz w:val="24"/>
          <w:szCs w:val="24"/>
        </w:rPr>
      </w:pPr>
      <w:r w:rsidRPr="00554D20">
        <w:rPr>
          <w:rFonts w:ascii="Arial" w:hAnsi="Arial" w:cs="Arial"/>
          <w:sz w:val="24"/>
          <w:szCs w:val="24"/>
        </w:rPr>
        <w:t>Summary of findings</w:t>
      </w:r>
      <w:r w:rsidR="003060AE">
        <w:rPr>
          <w:rFonts w:ascii="Arial" w:hAnsi="Arial" w:cs="Arial"/>
          <w:sz w:val="24"/>
          <w:szCs w:val="24"/>
        </w:rPr>
        <w:tab/>
        <w:t>5</w:t>
      </w:r>
      <w:r w:rsidRPr="00554D20">
        <w:rPr>
          <w:rFonts w:ascii="Arial" w:hAnsi="Arial" w:cs="Arial"/>
          <w:sz w:val="24"/>
          <w:szCs w:val="24"/>
        </w:rPr>
        <w:tab/>
      </w:r>
    </w:p>
    <w:p w:rsidR="00D77E7B"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Pr="00554D20"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Pr="004677C3"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Pr="00554D20" w:rsidRDefault="00D77E7B" w:rsidP="00E14CA2">
      <w:pPr>
        <w:pBdr>
          <w:top w:val="single" w:sz="4" w:space="1" w:color="auto"/>
          <w:left w:val="single" w:sz="4" w:space="4" w:color="auto"/>
          <w:bottom w:val="single" w:sz="4" w:space="1" w:color="auto"/>
          <w:right w:val="single" w:sz="4" w:space="4" w:color="auto"/>
        </w:pBdr>
        <w:tabs>
          <w:tab w:val="decimal" w:pos="6840"/>
        </w:tabs>
        <w:rPr>
          <w:rFonts w:ascii="Arial" w:hAnsi="Arial" w:cs="Arial"/>
          <w:sz w:val="24"/>
          <w:szCs w:val="24"/>
        </w:rPr>
      </w:pPr>
    </w:p>
    <w:p w:rsidR="00D77E7B" w:rsidRDefault="00D77E7B" w:rsidP="00E14CA2">
      <w:pPr>
        <w:pStyle w:val="BodyText"/>
        <w:rPr>
          <w:rFonts w:ascii="Arial" w:hAnsi="Arial"/>
          <w:b/>
          <w:sz w:val="24"/>
        </w:rPr>
      </w:pPr>
    </w:p>
    <w:p w:rsidR="00D77E7B" w:rsidRDefault="00D77E7B" w:rsidP="00E14CA2">
      <w:pPr>
        <w:pStyle w:val="BodyText"/>
        <w:rPr>
          <w:rFonts w:ascii="Arial" w:hAnsi="Arial"/>
          <w:b/>
          <w:sz w:val="24"/>
        </w:rPr>
      </w:pPr>
    </w:p>
    <w:p w:rsidR="00D77E7B" w:rsidRDefault="00D77E7B" w:rsidP="00E14CA2">
      <w:pPr>
        <w:pStyle w:val="BodyText"/>
        <w:rPr>
          <w:rFonts w:ascii="Arial" w:hAnsi="Arial"/>
          <w:b/>
          <w:sz w:val="24"/>
        </w:rPr>
      </w:pPr>
    </w:p>
    <w:p w:rsidR="00D77E7B" w:rsidRDefault="00D77E7B" w:rsidP="00E14CA2">
      <w:pPr>
        <w:pStyle w:val="BodyText"/>
        <w:rPr>
          <w:rFonts w:ascii="Arial" w:hAnsi="Arial"/>
          <w:b/>
          <w:sz w:val="24"/>
        </w:rPr>
      </w:pPr>
    </w:p>
    <w:p w:rsidR="00D77E7B" w:rsidRDefault="00D77E7B" w:rsidP="00E14CA2">
      <w:pPr>
        <w:pStyle w:val="BodyText"/>
        <w:rPr>
          <w:rFonts w:ascii="Arial" w:hAnsi="Arial"/>
          <w:b/>
          <w:sz w:val="24"/>
        </w:rPr>
        <w:sectPr w:rsidR="00D77E7B" w:rsidSect="00144925">
          <w:headerReference w:type="default" r:id="rId14"/>
          <w:footerReference w:type="default" r:id="rId15"/>
          <w:headerReference w:type="first" r:id="rId16"/>
          <w:pgSz w:w="12240" w:h="15840"/>
          <w:pgMar w:top="1440" w:right="1797" w:bottom="1440" w:left="1797" w:header="709" w:footer="709" w:gutter="0"/>
          <w:pgNumType w:start="2"/>
          <w:cols w:space="708"/>
          <w:rtlGutter/>
          <w:docGrid w:linePitch="360"/>
        </w:sectPr>
      </w:pPr>
    </w:p>
    <w:p w:rsidR="00D77E7B" w:rsidRPr="00C758F9" w:rsidRDefault="00D77E7B" w:rsidP="009424D4">
      <w:pPr>
        <w:pStyle w:val="BodyText"/>
        <w:numPr>
          <w:ilvl w:val="0"/>
          <w:numId w:val="1"/>
        </w:numPr>
        <w:rPr>
          <w:rFonts w:ascii="Arial" w:hAnsi="Arial"/>
          <w:b/>
          <w:sz w:val="24"/>
        </w:rPr>
      </w:pPr>
      <w:r w:rsidRPr="00C758F9">
        <w:rPr>
          <w:rFonts w:ascii="Arial" w:hAnsi="Arial"/>
          <w:b/>
          <w:sz w:val="24"/>
        </w:rPr>
        <w:lastRenderedPageBreak/>
        <w:t>Introduction</w:t>
      </w:r>
    </w:p>
    <w:p w:rsidR="00D77E7B" w:rsidRPr="00544EB2" w:rsidRDefault="00D77E7B" w:rsidP="009424D4">
      <w:pPr>
        <w:numPr>
          <w:ilvl w:val="1"/>
          <w:numId w:val="1"/>
        </w:numPr>
        <w:spacing w:after="240" w:line="240" w:lineRule="auto"/>
        <w:rPr>
          <w:rFonts w:ascii="Arial" w:hAnsi="Arial"/>
          <w:sz w:val="24"/>
        </w:rPr>
      </w:pPr>
      <w:r w:rsidRPr="004636A1">
        <w:rPr>
          <w:rFonts w:ascii="Arial" w:hAnsi="Arial" w:cs="Arial"/>
          <w:sz w:val="24"/>
          <w:szCs w:val="24"/>
        </w:rPr>
        <w:t>I</w:t>
      </w:r>
      <w:r w:rsidRPr="00544EB2">
        <w:rPr>
          <w:rFonts w:ascii="Arial" w:hAnsi="Arial"/>
          <w:sz w:val="24"/>
        </w:rPr>
        <w:t xml:space="preserve">nternal Audit is an assurance function that primarily provides an independent and objective opinion on the adequacy of the organisation’s control environment. The CIPFA Code of Practice for Internal Audit in Local Government in the </w:t>
      </w:r>
      <w:smartTag w:uri="urn:schemas-microsoft-com:office:smarttags" w:element="place">
        <w:smartTag w:uri="urn:schemas-microsoft-com:office:smarttags" w:element="country-region">
          <w:r w:rsidRPr="00544EB2">
            <w:rPr>
              <w:rFonts w:ascii="Arial" w:hAnsi="Arial"/>
              <w:sz w:val="24"/>
            </w:rPr>
            <w:t>Un</w:t>
          </w:r>
          <w:r>
            <w:rPr>
              <w:rFonts w:ascii="Arial" w:hAnsi="Arial"/>
              <w:sz w:val="24"/>
            </w:rPr>
            <w:t>ited Kingdom</w:t>
          </w:r>
        </w:smartTag>
      </w:smartTag>
      <w:r>
        <w:rPr>
          <w:rFonts w:ascii="Arial" w:hAnsi="Arial"/>
          <w:sz w:val="24"/>
        </w:rPr>
        <w:t xml:space="preserve"> requires the head of internal a</w:t>
      </w:r>
      <w:r w:rsidRPr="00544EB2">
        <w:rPr>
          <w:rFonts w:ascii="Arial" w:hAnsi="Arial"/>
          <w:sz w:val="24"/>
        </w:rPr>
        <w:t>udit to provide a written report to those charged with governance, timed to support the Annual Governance Statement, which includes an opinion on the overall adequacy and effectiveness of the organisation’s governance arrangements, including the control environment. This report presents our opinion based upon the work we have performed.</w:t>
      </w:r>
    </w:p>
    <w:p w:rsidR="00D77E7B" w:rsidRPr="00D22100" w:rsidRDefault="00D77E7B" w:rsidP="009424D4">
      <w:pPr>
        <w:pStyle w:val="BodyText"/>
        <w:numPr>
          <w:ilvl w:val="1"/>
          <w:numId w:val="1"/>
        </w:numPr>
        <w:rPr>
          <w:rFonts w:ascii="Arial" w:hAnsi="Arial"/>
          <w:sz w:val="24"/>
        </w:rPr>
      </w:pPr>
      <w:r>
        <w:rPr>
          <w:rFonts w:ascii="Arial" w:hAnsi="Arial"/>
          <w:sz w:val="24"/>
        </w:rPr>
        <w:t>This report covers the period 1 April 201</w:t>
      </w:r>
      <w:r w:rsidR="00A42846">
        <w:rPr>
          <w:rFonts w:ascii="Arial" w:hAnsi="Arial"/>
          <w:sz w:val="24"/>
        </w:rPr>
        <w:t>2</w:t>
      </w:r>
      <w:r>
        <w:rPr>
          <w:rFonts w:ascii="Arial" w:hAnsi="Arial"/>
          <w:sz w:val="24"/>
        </w:rPr>
        <w:t xml:space="preserve"> to 31 March 201</w:t>
      </w:r>
      <w:r w:rsidR="00A42846">
        <w:rPr>
          <w:rFonts w:ascii="Arial" w:hAnsi="Arial"/>
          <w:sz w:val="24"/>
        </w:rPr>
        <w:t>3</w:t>
      </w:r>
      <w:r>
        <w:rPr>
          <w:rFonts w:ascii="Arial" w:hAnsi="Arial"/>
          <w:sz w:val="24"/>
        </w:rPr>
        <w:t>.</w:t>
      </w:r>
    </w:p>
    <w:p w:rsidR="00D77E7B" w:rsidRDefault="00D77E7B" w:rsidP="009424D4">
      <w:pPr>
        <w:pStyle w:val="BodyText"/>
        <w:ind w:firstLine="851"/>
        <w:rPr>
          <w:rFonts w:ascii="Arial" w:hAnsi="Arial"/>
          <w:sz w:val="24"/>
        </w:rPr>
      </w:pPr>
      <w:r w:rsidRPr="002308BA">
        <w:rPr>
          <w:rFonts w:ascii="Arial" w:hAnsi="Arial"/>
          <w:b/>
          <w:i/>
          <w:sz w:val="24"/>
        </w:rPr>
        <w:t>Acknowledgements</w:t>
      </w:r>
    </w:p>
    <w:p w:rsidR="00D77E7B" w:rsidRDefault="00D77E7B" w:rsidP="009424D4">
      <w:pPr>
        <w:pStyle w:val="BodyText"/>
        <w:numPr>
          <w:ilvl w:val="1"/>
          <w:numId w:val="1"/>
        </w:numPr>
        <w:rPr>
          <w:rFonts w:ascii="Arial" w:hAnsi="Arial"/>
          <w:sz w:val="24"/>
        </w:rPr>
      </w:pPr>
      <w:r>
        <w:rPr>
          <w:rFonts w:ascii="Arial" w:hAnsi="Arial"/>
          <w:sz w:val="24"/>
        </w:rPr>
        <w:t xml:space="preserve">We are grateful for the assistance that has been provided to us by </w:t>
      </w:r>
      <w:r w:rsidR="001A0118">
        <w:rPr>
          <w:rFonts w:ascii="Arial" w:hAnsi="Arial"/>
          <w:sz w:val="24"/>
        </w:rPr>
        <w:t>staff in</w:t>
      </w:r>
      <w:r>
        <w:rPr>
          <w:rFonts w:ascii="Arial" w:hAnsi="Arial"/>
          <w:sz w:val="24"/>
        </w:rPr>
        <w:t xml:space="preserve"> </w:t>
      </w:r>
      <w:r w:rsidR="00770B1A">
        <w:rPr>
          <w:rFonts w:ascii="Arial" w:hAnsi="Arial"/>
          <w:sz w:val="24"/>
        </w:rPr>
        <w:t>t</w:t>
      </w:r>
      <w:r w:rsidR="00487C0B">
        <w:rPr>
          <w:rFonts w:ascii="Arial" w:hAnsi="Arial"/>
          <w:sz w:val="24"/>
        </w:rPr>
        <w:t>he County Treasurer's Directorate</w:t>
      </w:r>
      <w:r w:rsidR="00770B1A">
        <w:rPr>
          <w:rFonts w:ascii="Arial" w:hAnsi="Arial"/>
          <w:sz w:val="24"/>
        </w:rPr>
        <w:t xml:space="preserve"> in </w:t>
      </w:r>
      <w:r>
        <w:rPr>
          <w:rFonts w:ascii="Arial" w:hAnsi="Arial"/>
          <w:sz w:val="24"/>
        </w:rPr>
        <w:t>the course of our work.</w:t>
      </w:r>
    </w:p>
    <w:p w:rsidR="00D77E7B" w:rsidRPr="00D11ACD" w:rsidRDefault="00D77E7B" w:rsidP="009424D4">
      <w:pPr>
        <w:pStyle w:val="BodyText"/>
        <w:numPr>
          <w:ilvl w:val="0"/>
          <w:numId w:val="1"/>
        </w:numPr>
        <w:rPr>
          <w:rFonts w:ascii="Arial" w:hAnsi="Arial"/>
          <w:b/>
          <w:sz w:val="24"/>
        </w:rPr>
      </w:pPr>
      <w:r w:rsidRPr="00D11ACD">
        <w:rPr>
          <w:rFonts w:ascii="Arial" w:hAnsi="Arial"/>
          <w:b/>
          <w:sz w:val="24"/>
        </w:rPr>
        <w:t xml:space="preserve">Assessment of internal controls </w:t>
      </w:r>
    </w:p>
    <w:p w:rsidR="00D77E7B" w:rsidRDefault="00D77E7B" w:rsidP="009424D4">
      <w:pPr>
        <w:pStyle w:val="BodyText"/>
        <w:ind w:firstLine="851"/>
        <w:rPr>
          <w:rFonts w:ascii="Arial" w:hAnsi="Arial"/>
          <w:b/>
          <w:i/>
          <w:sz w:val="24"/>
        </w:rPr>
      </w:pPr>
      <w:r w:rsidRPr="00C802C5">
        <w:rPr>
          <w:rFonts w:ascii="Arial" w:hAnsi="Arial"/>
          <w:b/>
          <w:i/>
          <w:sz w:val="24"/>
        </w:rPr>
        <w:t>Overall opinion</w:t>
      </w:r>
    </w:p>
    <w:p w:rsidR="00D77E7B" w:rsidRDefault="00D77E7B" w:rsidP="009424D4">
      <w:pPr>
        <w:pStyle w:val="BodyText"/>
        <w:numPr>
          <w:ilvl w:val="1"/>
          <w:numId w:val="1"/>
        </w:numPr>
        <w:rPr>
          <w:rFonts w:ascii="Arial" w:hAnsi="Arial"/>
          <w:sz w:val="24"/>
        </w:rPr>
      </w:pPr>
      <w:r w:rsidRPr="00D15173">
        <w:rPr>
          <w:rFonts w:ascii="Arial" w:hAnsi="Arial"/>
          <w:sz w:val="24"/>
        </w:rPr>
        <w:t>Based on the internal audit work undertaken</w:t>
      </w:r>
      <w:r>
        <w:rPr>
          <w:rFonts w:ascii="Arial" w:hAnsi="Arial"/>
          <w:sz w:val="24"/>
        </w:rPr>
        <w:t xml:space="preserve"> during the year we are able to provide </w:t>
      </w:r>
      <w:r w:rsidRPr="004C1983">
        <w:rPr>
          <w:rFonts w:ascii="Arial" w:hAnsi="Arial"/>
          <w:b/>
          <w:sz w:val="24"/>
        </w:rPr>
        <w:t>substantial</w:t>
      </w:r>
      <w:r>
        <w:rPr>
          <w:rFonts w:ascii="Arial" w:hAnsi="Arial"/>
          <w:sz w:val="24"/>
        </w:rPr>
        <w:t xml:space="preserve"> assurance over the internal control environment for the pension fund and pension administration. </w:t>
      </w:r>
    </w:p>
    <w:p w:rsidR="00D77E7B" w:rsidRDefault="00D77E7B" w:rsidP="009424D4">
      <w:pPr>
        <w:pStyle w:val="BodyText"/>
        <w:numPr>
          <w:ilvl w:val="1"/>
          <w:numId w:val="1"/>
        </w:numPr>
        <w:rPr>
          <w:rFonts w:ascii="Arial" w:hAnsi="Arial"/>
          <w:sz w:val="24"/>
        </w:rPr>
      </w:pPr>
      <w:r>
        <w:rPr>
          <w:rFonts w:ascii="Arial" w:hAnsi="Arial"/>
          <w:sz w:val="24"/>
        </w:rPr>
        <w:t>It is our opinion that there is a generally sound system of internal control which is adequately designed and controls are being consistently applied in the majority of areas reviewed, although there are some areas where control needs to be strengthened.</w:t>
      </w:r>
    </w:p>
    <w:p w:rsidR="00D77E7B" w:rsidRPr="00805013" w:rsidRDefault="00D77E7B" w:rsidP="00D15173">
      <w:pPr>
        <w:pStyle w:val="BodyText"/>
        <w:numPr>
          <w:ilvl w:val="1"/>
          <w:numId w:val="1"/>
        </w:numPr>
        <w:rPr>
          <w:rFonts w:ascii="Arial" w:hAnsi="Arial"/>
          <w:sz w:val="24"/>
        </w:rPr>
      </w:pPr>
      <w:r>
        <w:rPr>
          <w:rFonts w:ascii="Arial" w:hAnsi="Arial"/>
          <w:sz w:val="24"/>
        </w:rPr>
        <w:t xml:space="preserve">Management responses to the findings from our work have been positive and indicate that action has or will be taken where issues have been identified. Whilst recognising there are </w:t>
      </w:r>
      <w:r w:rsidR="00AC4688">
        <w:rPr>
          <w:rFonts w:ascii="Arial" w:hAnsi="Arial"/>
          <w:sz w:val="24"/>
        </w:rPr>
        <w:t xml:space="preserve">a small number of </w:t>
      </w:r>
      <w:r>
        <w:rPr>
          <w:rFonts w:ascii="Arial" w:hAnsi="Arial"/>
          <w:sz w:val="24"/>
        </w:rPr>
        <w:t xml:space="preserve">control issues which need to be addressed, our detailed findings identify good areas of effective control. </w:t>
      </w:r>
    </w:p>
    <w:p w:rsidR="00D77E7B" w:rsidRDefault="00D77E7B" w:rsidP="009424D4">
      <w:pPr>
        <w:pStyle w:val="BodyText"/>
        <w:ind w:firstLine="851"/>
        <w:rPr>
          <w:rFonts w:ascii="Arial" w:hAnsi="Arial"/>
          <w:b/>
          <w:i/>
          <w:sz w:val="24"/>
        </w:rPr>
      </w:pPr>
      <w:r w:rsidRPr="00D15173">
        <w:rPr>
          <w:rFonts w:ascii="Arial" w:hAnsi="Arial"/>
          <w:b/>
          <w:i/>
          <w:sz w:val="24"/>
        </w:rPr>
        <w:t>Key issues and themes arising during the period</w:t>
      </w:r>
    </w:p>
    <w:p w:rsidR="00386CFC" w:rsidRDefault="00AC4688" w:rsidP="009424D4">
      <w:pPr>
        <w:pStyle w:val="BodyText"/>
        <w:numPr>
          <w:ilvl w:val="1"/>
          <w:numId w:val="1"/>
        </w:numPr>
        <w:rPr>
          <w:rFonts w:ascii="Arial" w:hAnsi="Arial"/>
          <w:sz w:val="24"/>
        </w:rPr>
      </w:pPr>
      <w:r>
        <w:rPr>
          <w:rFonts w:ascii="Arial" w:hAnsi="Arial"/>
          <w:sz w:val="24"/>
        </w:rPr>
        <w:t>The findings of the individual reviews are briefly set out in the following paragraphs.</w:t>
      </w:r>
    </w:p>
    <w:p w:rsidR="00D77E7B" w:rsidRDefault="005F6D4B" w:rsidP="009424D4">
      <w:pPr>
        <w:pStyle w:val="BodyText"/>
        <w:numPr>
          <w:ilvl w:val="1"/>
          <w:numId w:val="1"/>
        </w:numPr>
        <w:rPr>
          <w:rFonts w:ascii="Arial" w:hAnsi="Arial"/>
          <w:sz w:val="24"/>
        </w:rPr>
      </w:pPr>
      <w:r w:rsidRPr="00980ABC">
        <w:rPr>
          <w:rFonts w:ascii="Arial" w:hAnsi="Arial"/>
          <w:sz w:val="24"/>
        </w:rPr>
        <w:t>We are able to provide substantial assurance over the pension administration procedures operated during the year whi</w:t>
      </w:r>
      <w:r w:rsidR="00460ADF">
        <w:rPr>
          <w:rFonts w:ascii="Arial" w:hAnsi="Arial"/>
          <w:sz w:val="24"/>
        </w:rPr>
        <w:t>ch included consideration of both manual and ICT controls</w:t>
      </w:r>
      <w:r w:rsidR="00695A08">
        <w:rPr>
          <w:rFonts w:ascii="Arial" w:hAnsi="Arial"/>
          <w:sz w:val="24"/>
        </w:rPr>
        <w:t>.</w:t>
      </w:r>
    </w:p>
    <w:p w:rsidR="00460ADF" w:rsidRDefault="00460ADF" w:rsidP="009424D4">
      <w:pPr>
        <w:pStyle w:val="BodyText"/>
        <w:numPr>
          <w:ilvl w:val="1"/>
          <w:numId w:val="1"/>
        </w:numPr>
        <w:rPr>
          <w:rFonts w:ascii="Arial" w:hAnsi="Arial"/>
          <w:sz w:val="24"/>
        </w:rPr>
      </w:pPr>
      <w:r>
        <w:rPr>
          <w:rFonts w:ascii="Arial" w:hAnsi="Arial"/>
          <w:sz w:val="24"/>
        </w:rPr>
        <w:lastRenderedPageBreak/>
        <w:t>In respect of the manual controls we considered</w:t>
      </w:r>
      <w:r w:rsidR="003060AE">
        <w:rPr>
          <w:rFonts w:ascii="Arial" w:hAnsi="Arial"/>
          <w:sz w:val="24"/>
        </w:rPr>
        <w:t>:</w:t>
      </w:r>
      <w:r>
        <w:rPr>
          <w:rFonts w:ascii="Arial" w:hAnsi="Arial"/>
          <w:sz w:val="24"/>
        </w:rPr>
        <w:t xml:space="preserve"> </w:t>
      </w:r>
    </w:p>
    <w:p w:rsidR="00047BC1" w:rsidRDefault="00D77E7B" w:rsidP="00481184">
      <w:pPr>
        <w:pStyle w:val="BodyText"/>
        <w:numPr>
          <w:ilvl w:val="3"/>
          <w:numId w:val="1"/>
        </w:numPr>
        <w:spacing w:after="120"/>
        <w:rPr>
          <w:rFonts w:ascii="Arial" w:hAnsi="Arial"/>
          <w:sz w:val="24"/>
        </w:rPr>
      </w:pPr>
      <w:r>
        <w:rPr>
          <w:rFonts w:ascii="Arial" w:hAnsi="Arial"/>
          <w:sz w:val="24"/>
        </w:rPr>
        <w:t xml:space="preserve">transfer of </w:t>
      </w:r>
      <w:r w:rsidR="005F3631">
        <w:rPr>
          <w:rFonts w:ascii="Arial" w:hAnsi="Arial"/>
          <w:sz w:val="24"/>
        </w:rPr>
        <w:t xml:space="preserve">the </w:t>
      </w:r>
      <w:r w:rsidR="00047BC1">
        <w:rPr>
          <w:rFonts w:ascii="Arial" w:hAnsi="Arial"/>
          <w:sz w:val="24"/>
        </w:rPr>
        <w:t>payment of pensions to the Altair system;</w:t>
      </w:r>
    </w:p>
    <w:p w:rsidR="00D77E7B" w:rsidRDefault="00D77E7B" w:rsidP="00481184">
      <w:pPr>
        <w:pStyle w:val="BodyText"/>
        <w:numPr>
          <w:ilvl w:val="3"/>
          <w:numId w:val="1"/>
        </w:numPr>
        <w:spacing w:after="120"/>
        <w:rPr>
          <w:rFonts w:ascii="Arial" w:hAnsi="Arial"/>
          <w:sz w:val="24"/>
        </w:rPr>
      </w:pPr>
      <w:r>
        <w:rPr>
          <w:rFonts w:ascii="Arial" w:hAnsi="Arial"/>
          <w:sz w:val="24"/>
        </w:rPr>
        <w:t>authorisation of new members;</w:t>
      </w:r>
    </w:p>
    <w:p w:rsidR="00D77E7B" w:rsidRDefault="00D77E7B" w:rsidP="00481184">
      <w:pPr>
        <w:pStyle w:val="BodyText"/>
        <w:numPr>
          <w:ilvl w:val="3"/>
          <w:numId w:val="1"/>
        </w:numPr>
        <w:spacing w:after="120"/>
        <w:rPr>
          <w:rFonts w:ascii="Arial" w:hAnsi="Arial"/>
          <w:sz w:val="24"/>
        </w:rPr>
      </w:pPr>
      <w:r>
        <w:rPr>
          <w:rFonts w:ascii="Arial" w:hAnsi="Arial"/>
          <w:sz w:val="24"/>
        </w:rPr>
        <w:t xml:space="preserve"> retirement calculations;</w:t>
      </w:r>
    </w:p>
    <w:p w:rsidR="00D77E7B" w:rsidRDefault="00D77E7B" w:rsidP="00481184">
      <w:pPr>
        <w:pStyle w:val="BodyText"/>
        <w:numPr>
          <w:ilvl w:val="3"/>
          <w:numId w:val="1"/>
        </w:numPr>
        <w:spacing w:after="120"/>
        <w:rPr>
          <w:rFonts w:ascii="Arial" w:hAnsi="Arial"/>
          <w:sz w:val="24"/>
        </w:rPr>
      </w:pPr>
      <w:r>
        <w:rPr>
          <w:rFonts w:ascii="Arial" w:hAnsi="Arial"/>
          <w:sz w:val="24"/>
        </w:rPr>
        <w:t>death grant calculations;</w:t>
      </w:r>
    </w:p>
    <w:p w:rsidR="00D77E7B" w:rsidRDefault="00D77E7B" w:rsidP="00481184">
      <w:pPr>
        <w:pStyle w:val="BodyText"/>
        <w:numPr>
          <w:ilvl w:val="3"/>
          <w:numId w:val="1"/>
        </w:numPr>
        <w:spacing w:after="120"/>
        <w:rPr>
          <w:rFonts w:ascii="Arial" w:hAnsi="Arial"/>
          <w:sz w:val="24"/>
        </w:rPr>
      </w:pPr>
      <w:r>
        <w:rPr>
          <w:rFonts w:ascii="Arial" w:hAnsi="Arial"/>
          <w:sz w:val="24"/>
        </w:rPr>
        <w:t>employee and employer contributions to the scheme</w:t>
      </w:r>
      <w:r w:rsidR="00047BC1">
        <w:rPr>
          <w:rFonts w:ascii="Arial" w:hAnsi="Arial"/>
          <w:sz w:val="24"/>
        </w:rPr>
        <w:t xml:space="preserve"> and</w:t>
      </w:r>
    </w:p>
    <w:p w:rsidR="00D77E7B" w:rsidRDefault="00D77E7B" w:rsidP="00481184">
      <w:pPr>
        <w:pStyle w:val="BodyText"/>
        <w:numPr>
          <w:ilvl w:val="3"/>
          <w:numId w:val="1"/>
        </w:numPr>
        <w:spacing w:after="120"/>
        <w:rPr>
          <w:rFonts w:ascii="Arial" w:hAnsi="Arial"/>
          <w:sz w:val="24"/>
        </w:rPr>
      </w:pPr>
      <w:proofErr w:type="gramStart"/>
      <w:r>
        <w:rPr>
          <w:rFonts w:ascii="Arial" w:hAnsi="Arial"/>
          <w:sz w:val="24"/>
        </w:rPr>
        <w:t>transfers</w:t>
      </w:r>
      <w:proofErr w:type="gramEnd"/>
      <w:r>
        <w:rPr>
          <w:rFonts w:ascii="Arial" w:hAnsi="Arial"/>
          <w:sz w:val="24"/>
        </w:rPr>
        <w:t xml:space="preserve"> into and out of the scheme</w:t>
      </w:r>
      <w:r w:rsidR="00E9034A">
        <w:rPr>
          <w:rFonts w:ascii="Arial" w:hAnsi="Arial"/>
          <w:sz w:val="24"/>
        </w:rPr>
        <w:t xml:space="preserve">. </w:t>
      </w:r>
    </w:p>
    <w:p w:rsidR="00DC62AC" w:rsidRDefault="00DC62AC" w:rsidP="00DC62AC">
      <w:pPr>
        <w:pStyle w:val="BodyText"/>
        <w:spacing w:after="120"/>
        <w:ind w:left="851"/>
        <w:rPr>
          <w:rFonts w:ascii="Arial" w:hAnsi="Arial"/>
          <w:sz w:val="24"/>
        </w:rPr>
      </w:pPr>
      <w:r>
        <w:rPr>
          <w:rFonts w:ascii="Arial" w:hAnsi="Arial"/>
          <w:sz w:val="24"/>
        </w:rPr>
        <w:t xml:space="preserve">We have made </w:t>
      </w:r>
      <w:r w:rsidR="00210C25">
        <w:rPr>
          <w:rFonts w:ascii="Arial" w:hAnsi="Arial"/>
          <w:sz w:val="24"/>
        </w:rPr>
        <w:t xml:space="preserve">two </w:t>
      </w:r>
      <w:r>
        <w:rPr>
          <w:rFonts w:ascii="Arial" w:hAnsi="Arial"/>
          <w:sz w:val="24"/>
        </w:rPr>
        <w:t>recommendation</w:t>
      </w:r>
      <w:r w:rsidR="00210C25">
        <w:rPr>
          <w:rFonts w:ascii="Arial" w:hAnsi="Arial"/>
          <w:sz w:val="24"/>
        </w:rPr>
        <w:t>s</w:t>
      </w:r>
      <w:r>
        <w:rPr>
          <w:rFonts w:ascii="Arial" w:hAnsi="Arial"/>
          <w:sz w:val="24"/>
        </w:rPr>
        <w:t xml:space="preserve"> to ensure the appropriate cancellation of tasks within the </w:t>
      </w:r>
      <w:r w:rsidR="00770B1A">
        <w:rPr>
          <w:rFonts w:ascii="Arial" w:hAnsi="Arial"/>
          <w:sz w:val="24"/>
        </w:rPr>
        <w:t xml:space="preserve">Altair </w:t>
      </w:r>
      <w:r>
        <w:rPr>
          <w:rFonts w:ascii="Arial" w:hAnsi="Arial"/>
          <w:sz w:val="24"/>
        </w:rPr>
        <w:t>system, in order that performance statistics can be fully relied upon</w:t>
      </w:r>
      <w:r w:rsidR="00210C25">
        <w:rPr>
          <w:rFonts w:ascii="Arial" w:hAnsi="Arial"/>
          <w:sz w:val="24"/>
        </w:rPr>
        <w:t xml:space="preserve"> and the appropriate separation of duties is operated within the system.</w:t>
      </w:r>
    </w:p>
    <w:p w:rsidR="000760DA" w:rsidRDefault="000760DA" w:rsidP="000760DA">
      <w:pPr>
        <w:pStyle w:val="BodyText"/>
        <w:numPr>
          <w:ilvl w:val="1"/>
          <w:numId w:val="1"/>
        </w:numPr>
        <w:rPr>
          <w:rFonts w:ascii="Arial" w:hAnsi="Arial"/>
          <w:sz w:val="24"/>
        </w:rPr>
      </w:pPr>
      <w:r>
        <w:rPr>
          <w:rFonts w:ascii="Arial" w:hAnsi="Arial"/>
          <w:sz w:val="24"/>
        </w:rPr>
        <w:t>We found the ICT controls operated within the system were of a reasonable standard overall, but highlighted improvements were required in relation to the business continuity and disaster recovery arrangements to effectively mitigate the impact of system loss or disruption. We are aware that this area has been given priority during the year and work is continuing to address the issues raised.</w:t>
      </w:r>
    </w:p>
    <w:p w:rsidR="00D77E7B" w:rsidRDefault="00D77E7B" w:rsidP="00C91F2D">
      <w:pPr>
        <w:pStyle w:val="BodyText"/>
        <w:numPr>
          <w:ilvl w:val="1"/>
          <w:numId w:val="1"/>
        </w:numPr>
        <w:rPr>
          <w:rFonts w:ascii="Arial" w:hAnsi="Arial"/>
          <w:sz w:val="24"/>
        </w:rPr>
      </w:pPr>
      <w:r>
        <w:rPr>
          <w:rFonts w:ascii="Arial" w:hAnsi="Arial"/>
          <w:sz w:val="24"/>
        </w:rPr>
        <w:t xml:space="preserve">In relation to pension fund </w:t>
      </w:r>
      <w:r w:rsidR="003B08EC">
        <w:rPr>
          <w:rFonts w:ascii="Arial" w:hAnsi="Arial"/>
          <w:sz w:val="24"/>
        </w:rPr>
        <w:t>assets and investments</w:t>
      </w:r>
      <w:r>
        <w:rPr>
          <w:rFonts w:ascii="Arial" w:hAnsi="Arial"/>
          <w:sz w:val="24"/>
        </w:rPr>
        <w:t xml:space="preserve"> our work has encompassed </w:t>
      </w:r>
      <w:r w:rsidR="00A42846">
        <w:rPr>
          <w:rFonts w:ascii="Arial" w:hAnsi="Arial"/>
          <w:sz w:val="24"/>
        </w:rPr>
        <w:t xml:space="preserve">three </w:t>
      </w:r>
      <w:r>
        <w:rPr>
          <w:rFonts w:ascii="Arial" w:hAnsi="Arial"/>
          <w:sz w:val="24"/>
        </w:rPr>
        <w:t xml:space="preserve">reviews consisting </w:t>
      </w:r>
      <w:r w:rsidR="0069088D">
        <w:rPr>
          <w:rFonts w:ascii="Arial" w:hAnsi="Arial"/>
          <w:sz w:val="24"/>
        </w:rPr>
        <w:t xml:space="preserve">of </w:t>
      </w:r>
      <w:r w:rsidR="005F3631">
        <w:rPr>
          <w:rFonts w:ascii="Arial" w:hAnsi="Arial"/>
          <w:sz w:val="24"/>
        </w:rPr>
        <w:t>the new investment strategy</w:t>
      </w:r>
      <w:r w:rsidR="00047BC1">
        <w:rPr>
          <w:rFonts w:ascii="Arial" w:hAnsi="Arial"/>
          <w:sz w:val="24"/>
        </w:rPr>
        <w:t xml:space="preserve">, the new </w:t>
      </w:r>
      <w:r w:rsidR="00A42846">
        <w:rPr>
          <w:rFonts w:ascii="Arial" w:hAnsi="Arial"/>
          <w:sz w:val="24"/>
        </w:rPr>
        <w:t>accounting arrangements</w:t>
      </w:r>
      <w:r w:rsidR="00047BC1">
        <w:rPr>
          <w:rFonts w:ascii="Arial" w:hAnsi="Arial"/>
          <w:sz w:val="24"/>
        </w:rPr>
        <w:t xml:space="preserve"> </w:t>
      </w:r>
      <w:r>
        <w:rPr>
          <w:rFonts w:ascii="Arial" w:hAnsi="Arial"/>
          <w:sz w:val="24"/>
        </w:rPr>
        <w:t>and third party assurance reports produced for three of the investment managers.</w:t>
      </w:r>
    </w:p>
    <w:p w:rsidR="003702D6" w:rsidRDefault="002A56E8" w:rsidP="00386CFC">
      <w:pPr>
        <w:pStyle w:val="BodyText"/>
        <w:numPr>
          <w:ilvl w:val="1"/>
          <w:numId w:val="1"/>
        </w:numPr>
        <w:spacing w:before="120" w:after="120" w:line="240" w:lineRule="auto"/>
        <w:rPr>
          <w:rFonts w:ascii="Arial" w:hAnsi="Arial" w:cs="Arial"/>
          <w:sz w:val="24"/>
          <w:szCs w:val="24"/>
        </w:rPr>
      </w:pPr>
      <w:r w:rsidRPr="003702D6">
        <w:rPr>
          <w:rFonts w:ascii="Arial" w:hAnsi="Arial"/>
          <w:sz w:val="24"/>
        </w:rPr>
        <w:t xml:space="preserve">Our review of the </w:t>
      </w:r>
      <w:r w:rsidR="00A42846" w:rsidRPr="003702D6">
        <w:rPr>
          <w:rFonts w:ascii="Arial" w:hAnsi="Arial"/>
          <w:sz w:val="24"/>
        </w:rPr>
        <w:t>i</w:t>
      </w:r>
      <w:r w:rsidRPr="003702D6">
        <w:rPr>
          <w:rFonts w:ascii="Arial" w:hAnsi="Arial"/>
          <w:sz w:val="24"/>
        </w:rPr>
        <w:t xml:space="preserve">nvestment strategy focused specifically on the </w:t>
      </w:r>
      <w:r w:rsidR="00A42846" w:rsidRPr="003702D6">
        <w:rPr>
          <w:rFonts w:ascii="Arial" w:hAnsi="Arial"/>
          <w:sz w:val="24"/>
        </w:rPr>
        <w:t xml:space="preserve">procurement arrangements operated for the selection of a bench of investment managers for the </w:t>
      </w:r>
      <w:r w:rsidR="00302587" w:rsidRPr="003702D6">
        <w:rPr>
          <w:rFonts w:ascii="Arial" w:hAnsi="Arial"/>
          <w:sz w:val="24"/>
        </w:rPr>
        <w:t>g</w:t>
      </w:r>
      <w:r w:rsidR="00A42846" w:rsidRPr="003702D6">
        <w:rPr>
          <w:rFonts w:ascii="Arial" w:hAnsi="Arial"/>
          <w:sz w:val="24"/>
        </w:rPr>
        <w:t xml:space="preserve">lobal </w:t>
      </w:r>
      <w:r w:rsidR="00302587" w:rsidRPr="003702D6">
        <w:rPr>
          <w:rFonts w:ascii="Arial" w:hAnsi="Arial"/>
          <w:sz w:val="24"/>
        </w:rPr>
        <w:t>e</w:t>
      </w:r>
      <w:r w:rsidR="00A42846" w:rsidRPr="003702D6">
        <w:rPr>
          <w:rFonts w:ascii="Arial" w:hAnsi="Arial"/>
          <w:sz w:val="24"/>
        </w:rPr>
        <w:t xml:space="preserve">quity mandate. </w:t>
      </w:r>
      <w:r w:rsidR="00FF619E" w:rsidRPr="003702D6">
        <w:rPr>
          <w:rFonts w:ascii="Arial" w:hAnsi="Arial"/>
          <w:sz w:val="24"/>
        </w:rPr>
        <w:t>The selection and procurem</w:t>
      </w:r>
      <w:r w:rsidR="007B0161" w:rsidRPr="003702D6">
        <w:rPr>
          <w:rFonts w:ascii="Arial" w:hAnsi="Arial"/>
          <w:sz w:val="24"/>
        </w:rPr>
        <w:t xml:space="preserve">ent process was undertaken in line with procurement regulations and </w:t>
      </w:r>
      <w:r w:rsidR="003702D6" w:rsidRPr="003702D6">
        <w:rPr>
          <w:rFonts w:ascii="Arial" w:hAnsi="Arial" w:cs="Arial"/>
          <w:sz w:val="24"/>
          <w:szCs w:val="24"/>
        </w:rPr>
        <w:t xml:space="preserve">we were able to provide </w:t>
      </w:r>
      <w:r w:rsidR="00A40FBA">
        <w:rPr>
          <w:rFonts w:ascii="Arial" w:hAnsi="Arial" w:cs="Arial"/>
          <w:sz w:val="24"/>
          <w:szCs w:val="24"/>
        </w:rPr>
        <w:t>substantial assurance. We have made one recommendation to further enhance the governance arrangements in this area, to ensure Investment Management Agreements are in place for all the selected investment managers</w:t>
      </w:r>
      <w:r w:rsidR="00FA53F3">
        <w:rPr>
          <w:rFonts w:ascii="Arial" w:hAnsi="Arial" w:cs="Arial"/>
          <w:sz w:val="24"/>
          <w:szCs w:val="24"/>
        </w:rPr>
        <w:t xml:space="preserve"> whether or not they have been allocated funds to manage</w:t>
      </w:r>
      <w:r w:rsidR="00A40FBA">
        <w:rPr>
          <w:rFonts w:ascii="Arial" w:hAnsi="Arial" w:cs="Arial"/>
          <w:sz w:val="24"/>
          <w:szCs w:val="24"/>
        </w:rPr>
        <w:t>.</w:t>
      </w:r>
    </w:p>
    <w:p w:rsidR="00FF619E" w:rsidRDefault="003702D6" w:rsidP="00386CFC">
      <w:pPr>
        <w:pStyle w:val="BodyText"/>
        <w:numPr>
          <w:ilvl w:val="1"/>
          <w:numId w:val="1"/>
        </w:numPr>
        <w:spacing w:before="120" w:after="120" w:line="240" w:lineRule="auto"/>
        <w:rPr>
          <w:rFonts w:ascii="Arial" w:hAnsi="Arial" w:cs="Arial"/>
          <w:sz w:val="24"/>
          <w:szCs w:val="24"/>
        </w:rPr>
      </w:pPr>
      <w:r w:rsidRPr="003702D6">
        <w:rPr>
          <w:rFonts w:ascii="Arial" w:hAnsi="Arial" w:cs="Arial"/>
          <w:sz w:val="24"/>
          <w:szCs w:val="24"/>
        </w:rPr>
        <w:t xml:space="preserve"> </w:t>
      </w:r>
      <w:r w:rsidR="0069088D" w:rsidRPr="003702D6">
        <w:rPr>
          <w:rFonts w:ascii="Arial" w:hAnsi="Arial" w:cs="Arial"/>
          <w:sz w:val="24"/>
          <w:szCs w:val="24"/>
        </w:rPr>
        <w:t>From April 2012 t</w:t>
      </w:r>
      <w:r w:rsidR="00FF619E" w:rsidRPr="003702D6">
        <w:rPr>
          <w:rFonts w:ascii="Arial" w:hAnsi="Arial" w:cs="Arial"/>
          <w:sz w:val="24"/>
          <w:szCs w:val="24"/>
        </w:rPr>
        <w:t xml:space="preserve">he </w:t>
      </w:r>
      <w:r w:rsidR="0069088D" w:rsidRPr="003702D6">
        <w:rPr>
          <w:rFonts w:ascii="Arial" w:hAnsi="Arial" w:cs="Arial"/>
          <w:sz w:val="24"/>
          <w:szCs w:val="24"/>
        </w:rPr>
        <w:t>p</w:t>
      </w:r>
      <w:r w:rsidR="00FF619E" w:rsidRPr="003702D6">
        <w:rPr>
          <w:rFonts w:ascii="Arial" w:hAnsi="Arial" w:cs="Arial"/>
          <w:sz w:val="24"/>
          <w:szCs w:val="24"/>
        </w:rPr>
        <w:t xml:space="preserve">ension </w:t>
      </w:r>
      <w:r w:rsidR="0069088D" w:rsidRPr="003702D6">
        <w:rPr>
          <w:rFonts w:ascii="Arial" w:hAnsi="Arial" w:cs="Arial"/>
          <w:sz w:val="24"/>
          <w:szCs w:val="24"/>
        </w:rPr>
        <w:t>f</w:t>
      </w:r>
      <w:r w:rsidR="00FF619E" w:rsidRPr="003702D6">
        <w:rPr>
          <w:rFonts w:ascii="Arial" w:hAnsi="Arial" w:cs="Arial"/>
          <w:sz w:val="24"/>
          <w:szCs w:val="24"/>
        </w:rPr>
        <w:t xml:space="preserve">und was established as a separate organisation with a separate </w:t>
      </w:r>
      <w:r w:rsidR="0069088D" w:rsidRPr="003702D6">
        <w:rPr>
          <w:rFonts w:ascii="Arial" w:hAnsi="Arial" w:cs="Arial"/>
          <w:sz w:val="24"/>
          <w:szCs w:val="24"/>
        </w:rPr>
        <w:t xml:space="preserve">general </w:t>
      </w:r>
      <w:r w:rsidR="00FF619E" w:rsidRPr="003702D6">
        <w:rPr>
          <w:rFonts w:ascii="Arial" w:hAnsi="Arial" w:cs="Arial"/>
          <w:sz w:val="24"/>
          <w:szCs w:val="24"/>
        </w:rPr>
        <w:t>ledger to that of the</w:t>
      </w:r>
      <w:r w:rsidR="00E86449">
        <w:rPr>
          <w:rFonts w:ascii="Arial" w:hAnsi="Arial" w:cs="Arial"/>
          <w:sz w:val="24"/>
          <w:szCs w:val="24"/>
        </w:rPr>
        <w:t xml:space="preserve"> county c</w:t>
      </w:r>
      <w:r w:rsidR="0069088D" w:rsidRPr="003702D6">
        <w:rPr>
          <w:rFonts w:ascii="Arial" w:hAnsi="Arial" w:cs="Arial"/>
          <w:sz w:val="24"/>
          <w:szCs w:val="24"/>
        </w:rPr>
        <w:t xml:space="preserve">ouncil </w:t>
      </w:r>
      <w:r w:rsidR="00E86449">
        <w:rPr>
          <w:rFonts w:ascii="Arial" w:hAnsi="Arial" w:cs="Arial"/>
          <w:sz w:val="24"/>
          <w:szCs w:val="24"/>
        </w:rPr>
        <w:t>as part of the upgrade of the county c</w:t>
      </w:r>
      <w:r w:rsidR="00FF619E" w:rsidRPr="003702D6">
        <w:rPr>
          <w:rFonts w:ascii="Arial" w:hAnsi="Arial" w:cs="Arial"/>
          <w:sz w:val="24"/>
          <w:szCs w:val="24"/>
        </w:rPr>
        <w:t>ouncil's financial systems. We have reviewed the new accounting arrangements and provided a substantial assurance opinion indicating th</w:t>
      </w:r>
      <w:r w:rsidR="00664B93" w:rsidRPr="003702D6">
        <w:rPr>
          <w:rFonts w:ascii="Arial" w:hAnsi="Arial" w:cs="Arial"/>
          <w:sz w:val="24"/>
          <w:szCs w:val="24"/>
        </w:rPr>
        <w:t>at the procedures are adequately designed and operating effectively in the majority of areas reviewed. A small number of recommendations have been made to</w:t>
      </w:r>
      <w:r w:rsidR="007B0161" w:rsidRPr="003702D6">
        <w:rPr>
          <w:rFonts w:ascii="Arial" w:hAnsi="Arial" w:cs="Arial"/>
          <w:sz w:val="24"/>
          <w:szCs w:val="24"/>
        </w:rPr>
        <w:t xml:space="preserve"> further </w:t>
      </w:r>
      <w:r w:rsidR="00664B93" w:rsidRPr="003702D6">
        <w:rPr>
          <w:rFonts w:ascii="Arial" w:hAnsi="Arial" w:cs="Arial"/>
          <w:sz w:val="24"/>
          <w:szCs w:val="24"/>
        </w:rPr>
        <w:t>enhance the controls in place.</w:t>
      </w:r>
    </w:p>
    <w:p w:rsidR="00D77E7B" w:rsidRPr="00E9034A" w:rsidRDefault="00D77E7B" w:rsidP="00C91F2D">
      <w:pPr>
        <w:pStyle w:val="BodyText"/>
        <w:numPr>
          <w:ilvl w:val="1"/>
          <w:numId w:val="1"/>
        </w:numPr>
        <w:rPr>
          <w:rFonts w:ascii="Arial" w:hAnsi="Arial"/>
          <w:b/>
          <w:i/>
          <w:sz w:val="24"/>
        </w:rPr>
      </w:pPr>
      <w:r w:rsidRPr="00047BC1">
        <w:rPr>
          <w:rFonts w:ascii="Arial" w:hAnsi="Arial" w:cs="Arial"/>
          <w:sz w:val="24"/>
          <w:szCs w:val="24"/>
        </w:rPr>
        <w:lastRenderedPageBreak/>
        <w:t>Our review of the third party assurance reports produced for three of the fund manager's system</w:t>
      </w:r>
      <w:r w:rsidRPr="009C5191">
        <w:rPr>
          <w:rFonts w:ascii="Arial" w:hAnsi="Arial"/>
          <w:sz w:val="24"/>
        </w:rPr>
        <w:t xml:space="preserve">s </w:t>
      </w:r>
      <w:r>
        <w:rPr>
          <w:rFonts w:ascii="Arial" w:hAnsi="Arial"/>
          <w:sz w:val="24"/>
        </w:rPr>
        <w:t>enabled us</w:t>
      </w:r>
      <w:r w:rsidRPr="009C5191">
        <w:rPr>
          <w:rFonts w:ascii="Arial" w:hAnsi="Arial"/>
          <w:sz w:val="24"/>
        </w:rPr>
        <w:t xml:space="preserve"> to </w:t>
      </w:r>
      <w:r w:rsidR="00FF619E">
        <w:rPr>
          <w:rFonts w:ascii="Arial" w:hAnsi="Arial"/>
          <w:sz w:val="24"/>
        </w:rPr>
        <w:t>concl</w:t>
      </w:r>
      <w:r w:rsidR="00210C25">
        <w:rPr>
          <w:rFonts w:ascii="Arial" w:hAnsi="Arial"/>
          <w:sz w:val="24"/>
        </w:rPr>
        <w:t>ude that reliance can be</w:t>
      </w:r>
      <w:r w:rsidR="0014138F">
        <w:rPr>
          <w:rFonts w:ascii="Arial" w:hAnsi="Arial"/>
          <w:sz w:val="24"/>
        </w:rPr>
        <w:t xml:space="preserve"> </w:t>
      </w:r>
      <w:r w:rsidR="00695A08">
        <w:rPr>
          <w:rFonts w:ascii="Arial" w:hAnsi="Arial"/>
          <w:sz w:val="24"/>
        </w:rPr>
        <w:t>placed on the control statements which did not identify any significant control issues.</w:t>
      </w:r>
      <w:r w:rsidR="00210C25">
        <w:rPr>
          <w:rFonts w:ascii="Arial" w:hAnsi="Arial"/>
          <w:sz w:val="24"/>
        </w:rPr>
        <w:t xml:space="preserve"> </w:t>
      </w:r>
    </w:p>
    <w:p w:rsidR="00D77E7B" w:rsidRDefault="00D77E7B">
      <w:pPr>
        <w:pStyle w:val="BodyText"/>
        <w:ind w:firstLine="851"/>
        <w:rPr>
          <w:rFonts w:ascii="Arial" w:hAnsi="Arial"/>
          <w:b/>
          <w:i/>
          <w:sz w:val="24"/>
        </w:rPr>
      </w:pPr>
      <w:r w:rsidRPr="00C91F2D">
        <w:rPr>
          <w:rFonts w:ascii="Arial" w:hAnsi="Arial"/>
          <w:b/>
          <w:i/>
          <w:sz w:val="24"/>
        </w:rPr>
        <w:t>Fraud/ special investigations</w:t>
      </w:r>
    </w:p>
    <w:p w:rsidR="00D77E7B" w:rsidRPr="00016F8E" w:rsidRDefault="00D77E7B" w:rsidP="009424D4">
      <w:pPr>
        <w:pStyle w:val="BodyText"/>
        <w:numPr>
          <w:ilvl w:val="1"/>
          <w:numId w:val="1"/>
        </w:numPr>
        <w:rPr>
          <w:rFonts w:ascii="Arial" w:hAnsi="Arial" w:cs="Arial"/>
          <w:sz w:val="24"/>
          <w:szCs w:val="24"/>
        </w:rPr>
      </w:pPr>
      <w:r>
        <w:rPr>
          <w:rFonts w:ascii="Arial" w:hAnsi="Arial"/>
          <w:sz w:val="24"/>
        </w:rPr>
        <w:t>There were no days used in the investigation of suspected financial irregularities in relation to the pension fund.</w:t>
      </w:r>
    </w:p>
    <w:p w:rsidR="00D77E7B" w:rsidRPr="002009E0" w:rsidRDefault="00D77E7B" w:rsidP="007D3969">
      <w:pPr>
        <w:pStyle w:val="BodyText"/>
        <w:ind w:firstLine="851"/>
        <w:rPr>
          <w:rFonts w:ascii="Arial" w:hAnsi="Arial"/>
          <w:b/>
          <w:i/>
          <w:sz w:val="24"/>
        </w:rPr>
      </w:pPr>
      <w:r w:rsidRPr="002009E0">
        <w:rPr>
          <w:rFonts w:ascii="Arial" w:hAnsi="Arial"/>
          <w:b/>
          <w:i/>
          <w:sz w:val="24"/>
        </w:rPr>
        <w:t xml:space="preserve">Implications for the </w:t>
      </w:r>
      <w:r>
        <w:rPr>
          <w:rFonts w:ascii="Arial" w:hAnsi="Arial"/>
          <w:b/>
          <w:i/>
          <w:sz w:val="24"/>
        </w:rPr>
        <w:t>Annual Governance Statement</w:t>
      </w:r>
    </w:p>
    <w:p w:rsidR="00D77E7B" w:rsidRDefault="00D77E7B" w:rsidP="009424D4">
      <w:pPr>
        <w:numPr>
          <w:ilvl w:val="1"/>
          <w:numId w:val="1"/>
        </w:numPr>
        <w:tabs>
          <w:tab w:val="left" w:pos="1077"/>
        </w:tabs>
        <w:spacing w:after="260"/>
        <w:rPr>
          <w:rFonts w:ascii="Arial" w:hAnsi="Arial" w:cs="Arial"/>
          <w:sz w:val="24"/>
          <w:szCs w:val="24"/>
        </w:rPr>
      </w:pPr>
      <w:r>
        <w:rPr>
          <w:rFonts w:ascii="Arial" w:hAnsi="Arial" w:cs="Arial"/>
          <w:sz w:val="24"/>
          <w:szCs w:val="24"/>
        </w:rPr>
        <w:t>On the basis of our work during 201</w:t>
      </w:r>
      <w:r w:rsidR="00FF619E">
        <w:rPr>
          <w:rFonts w:ascii="Arial" w:hAnsi="Arial" w:cs="Arial"/>
          <w:sz w:val="24"/>
          <w:szCs w:val="24"/>
        </w:rPr>
        <w:t>2</w:t>
      </w:r>
      <w:r>
        <w:rPr>
          <w:rFonts w:ascii="Arial" w:hAnsi="Arial" w:cs="Arial"/>
          <w:sz w:val="24"/>
          <w:szCs w:val="24"/>
        </w:rPr>
        <w:t>/1</w:t>
      </w:r>
      <w:r w:rsidR="00FF619E">
        <w:rPr>
          <w:rFonts w:ascii="Arial" w:hAnsi="Arial" w:cs="Arial"/>
          <w:sz w:val="24"/>
          <w:szCs w:val="24"/>
        </w:rPr>
        <w:t>3</w:t>
      </w:r>
      <w:r>
        <w:rPr>
          <w:rFonts w:ascii="Arial" w:hAnsi="Arial" w:cs="Arial"/>
          <w:sz w:val="24"/>
          <w:szCs w:val="24"/>
        </w:rPr>
        <w:t>, we are aware of no internal control weakness that require</w:t>
      </w:r>
      <w:r w:rsidR="00AF4576">
        <w:rPr>
          <w:rFonts w:ascii="Arial" w:hAnsi="Arial" w:cs="Arial"/>
          <w:sz w:val="24"/>
          <w:szCs w:val="24"/>
        </w:rPr>
        <w:t>s</w:t>
      </w:r>
      <w:r>
        <w:rPr>
          <w:rFonts w:ascii="Arial" w:hAnsi="Arial" w:cs="Arial"/>
          <w:sz w:val="24"/>
          <w:szCs w:val="24"/>
        </w:rPr>
        <w:t xml:space="preserve"> disclosure in the Annual Governance Statement.</w:t>
      </w:r>
    </w:p>
    <w:p w:rsidR="00D77E7B" w:rsidRPr="00D11ACD" w:rsidRDefault="00D77E7B" w:rsidP="009424D4">
      <w:pPr>
        <w:pStyle w:val="BodyText"/>
        <w:numPr>
          <w:ilvl w:val="0"/>
          <w:numId w:val="1"/>
        </w:numPr>
        <w:rPr>
          <w:rFonts w:ascii="Arial" w:hAnsi="Arial"/>
          <w:b/>
          <w:sz w:val="24"/>
        </w:rPr>
      </w:pPr>
      <w:r w:rsidRPr="00D11ACD">
        <w:rPr>
          <w:rFonts w:ascii="Arial" w:hAnsi="Arial"/>
          <w:b/>
          <w:sz w:val="24"/>
        </w:rPr>
        <w:t>Internal audit work undertaken</w:t>
      </w:r>
    </w:p>
    <w:p w:rsidR="00D77E7B" w:rsidRDefault="00D77E7B" w:rsidP="009424D4">
      <w:pPr>
        <w:pStyle w:val="BodyText"/>
        <w:numPr>
          <w:ilvl w:val="1"/>
          <w:numId w:val="1"/>
        </w:numPr>
        <w:rPr>
          <w:rFonts w:ascii="Arial" w:hAnsi="Arial"/>
          <w:sz w:val="24"/>
        </w:rPr>
      </w:pPr>
      <w:r>
        <w:rPr>
          <w:rFonts w:ascii="Arial" w:hAnsi="Arial"/>
          <w:sz w:val="24"/>
        </w:rPr>
        <w:t>Work carried out during 201</w:t>
      </w:r>
      <w:r w:rsidR="00FF619E">
        <w:rPr>
          <w:rFonts w:ascii="Arial" w:hAnsi="Arial"/>
          <w:sz w:val="24"/>
        </w:rPr>
        <w:t>2</w:t>
      </w:r>
      <w:r>
        <w:rPr>
          <w:rFonts w:ascii="Arial" w:hAnsi="Arial"/>
          <w:sz w:val="24"/>
        </w:rPr>
        <w:t>/1</w:t>
      </w:r>
      <w:r w:rsidR="00FF619E">
        <w:rPr>
          <w:rFonts w:ascii="Arial" w:hAnsi="Arial"/>
          <w:sz w:val="24"/>
        </w:rPr>
        <w:t>3</w:t>
      </w:r>
      <w:r>
        <w:rPr>
          <w:rFonts w:ascii="Arial" w:hAnsi="Arial"/>
          <w:sz w:val="24"/>
        </w:rPr>
        <w:t xml:space="preserve"> was in accordance with the audit plan presented and approved by the Pension Fund Committee in</w:t>
      </w:r>
      <w:r w:rsidR="00DC62AC">
        <w:rPr>
          <w:rFonts w:ascii="Arial" w:hAnsi="Arial"/>
          <w:sz w:val="24"/>
        </w:rPr>
        <w:t xml:space="preserve"> </w:t>
      </w:r>
      <w:r w:rsidR="00FF619E">
        <w:rPr>
          <w:rFonts w:ascii="Arial" w:hAnsi="Arial"/>
          <w:sz w:val="24"/>
        </w:rPr>
        <w:t>May</w:t>
      </w:r>
      <w:r w:rsidR="00005D84">
        <w:rPr>
          <w:rFonts w:ascii="Arial" w:hAnsi="Arial"/>
          <w:sz w:val="24"/>
        </w:rPr>
        <w:t xml:space="preserve"> </w:t>
      </w:r>
      <w:r w:rsidR="00A3022F">
        <w:rPr>
          <w:rFonts w:ascii="Arial" w:hAnsi="Arial"/>
          <w:sz w:val="24"/>
        </w:rPr>
        <w:t>201</w:t>
      </w:r>
      <w:r w:rsidR="00FF619E">
        <w:rPr>
          <w:rFonts w:ascii="Arial" w:hAnsi="Arial"/>
          <w:sz w:val="24"/>
        </w:rPr>
        <w:t>2</w:t>
      </w:r>
      <w:r>
        <w:rPr>
          <w:rFonts w:ascii="Arial" w:hAnsi="Arial"/>
          <w:sz w:val="24"/>
        </w:rPr>
        <w:t>. Details of the assurance provided, and key issues identified for each of the areas covered are set out in the ‘Summary of our Findings and Assurance’ table attached</w:t>
      </w:r>
      <w:r w:rsidR="00DB2771">
        <w:rPr>
          <w:rFonts w:ascii="Arial" w:hAnsi="Arial"/>
          <w:sz w:val="24"/>
        </w:rPr>
        <w:t xml:space="preserve"> at page </w:t>
      </w:r>
      <w:r w:rsidR="00695A08">
        <w:rPr>
          <w:rFonts w:ascii="Arial" w:hAnsi="Arial"/>
          <w:sz w:val="24"/>
        </w:rPr>
        <w:t>7</w:t>
      </w:r>
      <w:r w:rsidR="00DB2771">
        <w:rPr>
          <w:rFonts w:ascii="Arial" w:hAnsi="Arial"/>
          <w:sz w:val="24"/>
        </w:rPr>
        <w:t>. T</w:t>
      </w:r>
      <w:r>
        <w:rPr>
          <w:rFonts w:ascii="Arial" w:hAnsi="Arial"/>
          <w:sz w:val="24"/>
        </w:rPr>
        <w:t xml:space="preserve">his shows that </w:t>
      </w:r>
      <w:r w:rsidR="0000359F">
        <w:rPr>
          <w:rFonts w:ascii="Arial" w:hAnsi="Arial"/>
          <w:sz w:val="24"/>
        </w:rPr>
        <w:t>6</w:t>
      </w:r>
      <w:r w:rsidR="00664B93">
        <w:rPr>
          <w:rFonts w:ascii="Arial" w:hAnsi="Arial"/>
          <w:sz w:val="24"/>
        </w:rPr>
        <w:t xml:space="preserve">7 </w:t>
      </w:r>
      <w:r>
        <w:rPr>
          <w:rFonts w:ascii="Arial" w:hAnsi="Arial"/>
          <w:sz w:val="24"/>
        </w:rPr>
        <w:t xml:space="preserve">days were spent on delivering the </w:t>
      </w:r>
      <w:r w:rsidR="008B6737">
        <w:rPr>
          <w:rFonts w:ascii="Arial" w:hAnsi="Arial"/>
          <w:sz w:val="24"/>
        </w:rPr>
        <w:t xml:space="preserve">full </w:t>
      </w:r>
      <w:r>
        <w:rPr>
          <w:rFonts w:ascii="Arial" w:hAnsi="Arial"/>
          <w:sz w:val="24"/>
        </w:rPr>
        <w:t xml:space="preserve">audit plan against planned audit activity of </w:t>
      </w:r>
      <w:r w:rsidR="00FF619E">
        <w:rPr>
          <w:rFonts w:ascii="Arial" w:hAnsi="Arial"/>
          <w:sz w:val="24"/>
        </w:rPr>
        <w:t>75</w:t>
      </w:r>
      <w:r>
        <w:rPr>
          <w:rFonts w:ascii="Arial" w:hAnsi="Arial"/>
          <w:sz w:val="24"/>
        </w:rPr>
        <w:t xml:space="preserve"> days.  </w:t>
      </w:r>
    </w:p>
    <w:p w:rsidR="00D77E7B" w:rsidRDefault="00D77E7B" w:rsidP="009424D4">
      <w:pPr>
        <w:pStyle w:val="BodyText"/>
        <w:numPr>
          <w:ilvl w:val="1"/>
          <w:numId w:val="1"/>
        </w:numPr>
        <w:rPr>
          <w:rFonts w:ascii="Arial" w:hAnsi="Arial"/>
          <w:sz w:val="24"/>
        </w:rPr>
      </w:pPr>
      <w:r>
        <w:rPr>
          <w:rFonts w:ascii="Arial" w:hAnsi="Arial"/>
          <w:sz w:val="24"/>
        </w:rPr>
        <w:t xml:space="preserve">This work </w:t>
      </w:r>
      <w:r w:rsidR="00664B93">
        <w:rPr>
          <w:rFonts w:ascii="Arial" w:hAnsi="Arial"/>
          <w:sz w:val="24"/>
        </w:rPr>
        <w:t xml:space="preserve">has been undertaken with </w:t>
      </w:r>
      <w:r w:rsidR="00E86449">
        <w:rPr>
          <w:rFonts w:ascii="Arial" w:hAnsi="Arial"/>
          <w:sz w:val="24"/>
        </w:rPr>
        <w:t>liaison with the c</w:t>
      </w:r>
      <w:r>
        <w:rPr>
          <w:rFonts w:ascii="Arial" w:hAnsi="Arial"/>
          <w:sz w:val="24"/>
        </w:rPr>
        <w:t xml:space="preserve">ouncil's external auditors to minimise any duplication in planned coverage.  </w:t>
      </w:r>
    </w:p>
    <w:p w:rsidR="00D77E7B" w:rsidRDefault="00D77E7B" w:rsidP="009424D4">
      <w:pPr>
        <w:pStyle w:val="BodyText"/>
        <w:numPr>
          <w:ilvl w:val="1"/>
          <w:numId w:val="1"/>
        </w:numPr>
        <w:rPr>
          <w:rFonts w:ascii="Arial" w:hAnsi="Arial"/>
          <w:sz w:val="24"/>
        </w:rPr>
      </w:pPr>
      <w:r w:rsidRPr="0093280C">
        <w:rPr>
          <w:rFonts w:ascii="Arial" w:hAnsi="Arial"/>
          <w:sz w:val="24"/>
        </w:rPr>
        <w:t xml:space="preserve">A number of areas of work were completed on or just after the end of the financial year. </w:t>
      </w:r>
      <w:r w:rsidR="00FF619E">
        <w:rPr>
          <w:rFonts w:ascii="Arial" w:hAnsi="Arial"/>
          <w:sz w:val="24"/>
        </w:rPr>
        <w:t xml:space="preserve">A number of reports </w:t>
      </w:r>
      <w:r w:rsidR="00005D84">
        <w:rPr>
          <w:rFonts w:ascii="Arial" w:hAnsi="Arial"/>
          <w:sz w:val="24"/>
        </w:rPr>
        <w:t xml:space="preserve">were still in draft </w:t>
      </w:r>
      <w:r w:rsidR="000B4BE4">
        <w:rPr>
          <w:rFonts w:ascii="Arial" w:hAnsi="Arial"/>
          <w:sz w:val="24"/>
        </w:rPr>
        <w:t>at the</w:t>
      </w:r>
      <w:r w:rsidR="00386CFC">
        <w:rPr>
          <w:rFonts w:ascii="Arial" w:hAnsi="Arial"/>
          <w:sz w:val="24"/>
        </w:rPr>
        <w:t xml:space="preserve"> time of writing this report</w:t>
      </w:r>
      <w:r w:rsidR="00005D84">
        <w:rPr>
          <w:rFonts w:ascii="Arial" w:hAnsi="Arial"/>
          <w:sz w:val="24"/>
        </w:rPr>
        <w:t xml:space="preserve">. As all reports have been discussed with the </w:t>
      </w:r>
      <w:r w:rsidR="00BF3D44">
        <w:rPr>
          <w:rFonts w:ascii="Arial" w:hAnsi="Arial"/>
          <w:sz w:val="24"/>
        </w:rPr>
        <w:t>appropriate managers</w:t>
      </w:r>
      <w:r w:rsidR="00005D84">
        <w:rPr>
          <w:rFonts w:ascii="Arial" w:hAnsi="Arial"/>
          <w:sz w:val="24"/>
        </w:rPr>
        <w:t>, w</w:t>
      </w:r>
      <w:r>
        <w:rPr>
          <w:rFonts w:ascii="Arial" w:hAnsi="Arial"/>
          <w:sz w:val="24"/>
        </w:rPr>
        <w:t xml:space="preserve">e feel it is appropriate to </w:t>
      </w:r>
      <w:r w:rsidRPr="0093280C">
        <w:rPr>
          <w:rFonts w:ascii="Arial" w:hAnsi="Arial"/>
          <w:sz w:val="24"/>
        </w:rPr>
        <w:t>include</w:t>
      </w:r>
      <w:r>
        <w:rPr>
          <w:rFonts w:ascii="Arial" w:hAnsi="Arial"/>
          <w:sz w:val="24"/>
        </w:rPr>
        <w:t xml:space="preserve"> our opinion </w:t>
      </w:r>
      <w:r w:rsidR="00BF3D44">
        <w:rPr>
          <w:rFonts w:ascii="Arial" w:hAnsi="Arial"/>
          <w:sz w:val="24"/>
        </w:rPr>
        <w:t xml:space="preserve">for these reviews </w:t>
      </w:r>
      <w:r>
        <w:rPr>
          <w:rFonts w:ascii="Arial" w:hAnsi="Arial"/>
          <w:sz w:val="24"/>
        </w:rPr>
        <w:t>in the summary of</w:t>
      </w:r>
      <w:r w:rsidRPr="0093280C">
        <w:rPr>
          <w:rFonts w:ascii="Arial" w:hAnsi="Arial"/>
          <w:sz w:val="24"/>
        </w:rPr>
        <w:t xml:space="preserve"> findings.</w:t>
      </w:r>
    </w:p>
    <w:p w:rsidR="00D77E7B" w:rsidRPr="00DC62AC" w:rsidRDefault="00D77E7B" w:rsidP="00DC62AC">
      <w:pPr>
        <w:pStyle w:val="BodyText"/>
        <w:numPr>
          <w:ilvl w:val="0"/>
          <w:numId w:val="1"/>
        </w:numPr>
        <w:rPr>
          <w:rFonts w:ascii="Arial" w:hAnsi="Arial" w:cs="Arial"/>
          <w:b/>
          <w:sz w:val="24"/>
          <w:szCs w:val="24"/>
        </w:rPr>
      </w:pPr>
      <w:r w:rsidRPr="00DC62AC">
        <w:rPr>
          <w:rFonts w:ascii="Arial" w:hAnsi="Arial" w:cs="Arial"/>
          <w:b/>
          <w:sz w:val="24"/>
          <w:szCs w:val="24"/>
        </w:rPr>
        <w:t>Internal audit plan 201</w:t>
      </w:r>
      <w:r w:rsidR="00FF619E">
        <w:rPr>
          <w:rFonts w:ascii="Arial" w:hAnsi="Arial" w:cs="Arial"/>
          <w:b/>
          <w:sz w:val="24"/>
          <w:szCs w:val="24"/>
        </w:rPr>
        <w:t>3</w:t>
      </w:r>
      <w:r w:rsidRPr="00DC62AC">
        <w:rPr>
          <w:rFonts w:ascii="Arial" w:hAnsi="Arial" w:cs="Arial"/>
          <w:b/>
          <w:sz w:val="24"/>
          <w:szCs w:val="24"/>
        </w:rPr>
        <w:t>/1</w:t>
      </w:r>
      <w:r w:rsidR="00FF619E">
        <w:rPr>
          <w:rFonts w:ascii="Arial" w:hAnsi="Arial" w:cs="Arial"/>
          <w:b/>
          <w:sz w:val="24"/>
          <w:szCs w:val="24"/>
        </w:rPr>
        <w:t>4</w:t>
      </w:r>
    </w:p>
    <w:p w:rsidR="00D77E7B" w:rsidRPr="008A4F16" w:rsidRDefault="00D77E7B" w:rsidP="00DC62AC">
      <w:pPr>
        <w:pStyle w:val="BodyText"/>
        <w:numPr>
          <w:ilvl w:val="1"/>
          <w:numId w:val="1"/>
        </w:numPr>
        <w:rPr>
          <w:rFonts w:ascii="Arial" w:hAnsi="Arial" w:cs="Arial"/>
          <w:sz w:val="24"/>
          <w:szCs w:val="24"/>
        </w:rPr>
      </w:pPr>
      <w:r w:rsidRPr="008A4F16">
        <w:rPr>
          <w:rFonts w:ascii="Arial" w:hAnsi="Arial" w:cs="Arial"/>
          <w:sz w:val="24"/>
          <w:szCs w:val="24"/>
        </w:rPr>
        <w:t xml:space="preserve">Our work will continue </w:t>
      </w:r>
      <w:r>
        <w:rPr>
          <w:rFonts w:ascii="Arial" w:hAnsi="Arial" w:cs="Arial"/>
          <w:sz w:val="24"/>
          <w:szCs w:val="24"/>
        </w:rPr>
        <w:t xml:space="preserve">to </w:t>
      </w:r>
      <w:r w:rsidRPr="008A4F16">
        <w:rPr>
          <w:rFonts w:ascii="Arial" w:hAnsi="Arial" w:cs="Arial"/>
          <w:sz w:val="24"/>
          <w:szCs w:val="24"/>
        </w:rPr>
        <w:t>take maximum advantage of existing management assurance processes and reports, and follow an approach i</w:t>
      </w:r>
      <w:r w:rsidR="00A3022F">
        <w:rPr>
          <w:rFonts w:ascii="Arial" w:hAnsi="Arial" w:cs="Arial"/>
          <w:sz w:val="24"/>
          <w:szCs w:val="24"/>
        </w:rPr>
        <w:t>n</w:t>
      </w:r>
      <w:r w:rsidRPr="008A4F16">
        <w:rPr>
          <w:rFonts w:ascii="Arial" w:hAnsi="Arial" w:cs="Arial"/>
          <w:sz w:val="24"/>
          <w:szCs w:val="24"/>
        </w:rPr>
        <w:t xml:space="preserve"> line with guidance issued by the Society of County Treasurers and CIPFA. </w:t>
      </w:r>
    </w:p>
    <w:p w:rsidR="00D77E7B" w:rsidRPr="00C26651" w:rsidRDefault="00D77E7B" w:rsidP="00D66BFA">
      <w:pPr>
        <w:pStyle w:val="BodyText"/>
        <w:numPr>
          <w:ilvl w:val="1"/>
          <w:numId w:val="1"/>
        </w:numPr>
        <w:rPr>
          <w:rFonts w:ascii="Arial" w:hAnsi="Arial" w:cs="Arial"/>
          <w:sz w:val="24"/>
          <w:szCs w:val="24"/>
        </w:rPr>
      </w:pPr>
      <w:r w:rsidRPr="00D66BFA">
        <w:rPr>
          <w:rFonts w:ascii="Arial" w:hAnsi="Arial" w:cs="Arial"/>
          <w:kern w:val="32"/>
          <w:sz w:val="24"/>
          <w:szCs w:val="24"/>
        </w:rPr>
        <w:t xml:space="preserve">The plan </w:t>
      </w:r>
      <w:r w:rsidR="00620433">
        <w:rPr>
          <w:rFonts w:ascii="Arial" w:hAnsi="Arial" w:cs="Arial"/>
          <w:kern w:val="32"/>
          <w:sz w:val="24"/>
          <w:szCs w:val="24"/>
        </w:rPr>
        <w:t xml:space="preserve">again </w:t>
      </w:r>
      <w:r w:rsidRPr="00D66BFA">
        <w:rPr>
          <w:rFonts w:ascii="Arial" w:hAnsi="Arial" w:cs="Arial"/>
          <w:kern w:val="32"/>
          <w:sz w:val="24"/>
          <w:szCs w:val="24"/>
        </w:rPr>
        <w:t>focuses on two distinct areas which cover the governance and management of the pension fund's assets and pension administration. The audit reviews identified under each of these areas is explained in more detail below.</w:t>
      </w:r>
    </w:p>
    <w:p w:rsidR="007B0161" w:rsidRDefault="007B0161">
      <w:pPr>
        <w:pStyle w:val="BodyText"/>
        <w:ind w:left="851"/>
        <w:rPr>
          <w:rFonts w:ascii="Arial" w:hAnsi="Arial" w:cs="Arial"/>
          <w:b/>
          <w:i/>
          <w:sz w:val="24"/>
          <w:szCs w:val="24"/>
        </w:rPr>
      </w:pPr>
    </w:p>
    <w:p w:rsidR="00D77E7B" w:rsidRPr="00005D84" w:rsidRDefault="003E65D4">
      <w:pPr>
        <w:pStyle w:val="BodyText"/>
        <w:ind w:left="851"/>
        <w:rPr>
          <w:rFonts w:ascii="Arial" w:hAnsi="Arial" w:cs="Arial"/>
          <w:b/>
          <w:i/>
          <w:sz w:val="24"/>
          <w:szCs w:val="24"/>
        </w:rPr>
      </w:pPr>
      <w:r w:rsidRPr="00005D84">
        <w:rPr>
          <w:rFonts w:ascii="Arial" w:hAnsi="Arial" w:cs="Arial"/>
          <w:b/>
          <w:i/>
          <w:sz w:val="24"/>
          <w:szCs w:val="24"/>
        </w:rPr>
        <w:lastRenderedPageBreak/>
        <w:t>Pension Fund</w:t>
      </w:r>
    </w:p>
    <w:p w:rsidR="006A2022" w:rsidRDefault="0053018E">
      <w:pPr>
        <w:pStyle w:val="Heading1"/>
        <w:numPr>
          <w:ilvl w:val="1"/>
          <w:numId w:val="1"/>
        </w:numPr>
        <w:spacing w:before="120" w:after="0" w:line="240" w:lineRule="auto"/>
        <w:rPr>
          <w:rFonts w:ascii="Arial" w:hAnsi="Arial" w:cs="Arial"/>
          <w:b w:val="0"/>
          <w:sz w:val="24"/>
          <w:szCs w:val="24"/>
        </w:rPr>
      </w:pPr>
      <w:r w:rsidRPr="003E65D4">
        <w:rPr>
          <w:rFonts w:ascii="Arial" w:hAnsi="Arial" w:cs="Arial"/>
          <w:b w:val="0"/>
          <w:sz w:val="24"/>
          <w:szCs w:val="24"/>
        </w:rPr>
        <w:t xml:space="preserve">We have included </w:t>
      </w:r>
      <w:r w:rsidR="00005D84">
        <w:rPr>
          <w:rFonts w:ascii="Arial" w:hAnsi="Arial" w:cs="Arial"/>
          <w:b w:val="0"/>
          <w:sz w:val="24"/>
          <w:szCs w:val="24"/>
        </w:rPr>
        <w:t xml:space="preserve">audit </w:t>
      </w:r>
      <w:r w:rsidR="003E65D4" w:rsidRPr="003E65D4">
        <w:rPr>
          <w:rFonts w:ascii="Arial" w:hAnsi="Arial" w:cs="Arial"/>
          <w:b w:val="0"/>
          <w:sz w:val="24"/>
          <w:szCs w:val="24"/>
        </w:rPr>
        <w:t>resource</w:t>
      </w:r>
      <w:r w:rsidR="00DC62AC">
        <w:rPr>
          <w:rFonts w:ascii="Arial" w:hAnsi="Arial" w:cs="Arial"/>
          <w:b w:val="0"/>
          <w:sz w:val="24"/>
          <w:szCs w:val="24"/>
        </w:rPr>
        <w:t>s</w:t>
      </w:r>
      <w:r w:rsidR="00B9152B">
        <w:rPr>
          <w:rFonts w:ascii="Arial" w:hAnsi="Arial" w:cs="Arial"/>
          <w:b w:val="0"/>
          <w:sz w:val="24"/>
          <w:szCs w:val="24"/>
        </w:rPr>
        <w:t xml:space="preserve"> </w:t>
      </w:r>
      <w:r w:rsidR="003E65D4" w:rsidRPr="003E65D4">
        <w:rPr>
          <w:rFonts w:ascii="Arial" w:hAnsi="Arial" w:cs="Arial"/>
          <w:b w:val="0"/>
          <w:sz w:val="24"/>
          <w:szCs w:val="24"/>
        </w:rPr>
        <w:t>within the 201</w:t>
      </w:r>
      <w:r w:rsidR="00FF619E">
        <w:rPr>
          <w:rFonts w:ascii="Arial" w:hAnsi="Arial" w:cs="Arial"/>
          <w:b w:val="0"/>
          <w:sz w:val="24"/>
          <w:szCs w:val="24"/>
        </w:rPr>
        <w:t>3</w:t>
      </w:r>
      <w:r w:rsidR="003E65D4" w:rsidRPr="003E65D4">
        <w:rPr>
          <w:rFonts w:ascii="Arial" w:hAnsi="Arial" w:cs="Arial"/>
          <w:b w:val="0"/>
          <w:sz w:val="24"/>
          <w:szCs w:val="24"/>
        </w:rPr>
        <w:t>/1</w:t>
      </w:r>
      <w:r w:rsidR="00FF619E">
        <w:rPr>
          <w:rFonts w:ascii="Arial" w:hAnsi="Arial" w:cs="Arial"/>
          <w:b w:val="0"/>
          <w:sz w:val="24"/>
          <w:szCs w:val="24"/>
        </w:rPr>
        <w:t>4</w:t>
      </w:r>
      <w:r w:rsidR="003E65D4" w:rsidRPr="003E65D4">
        <w:rPr>
          <w:rFonts w:ascii="Arial" w:hAnsi="Arial" w:cs="Arial"/>
          <w:b w:val="0"/>
          <w:sz w:val="24"/>
          <w:szCs w:val="24"/>
        </w:rPr>
        <w:t xml:space="preserve"> plan to review </w:t>
      </w:r>
      <w:proofErr w:type="gramStart"/>
      <w:r w:rsidR="003E65D4" w:rsidRPr="003E65D4">
        <w:rPr>
          <w:rFonts w:ascii="Arial" w:hAnsi="Arial" w:cs="Arial"/>
          <w:b w:val="0"/>
          <w:sz w:val="24"/>
          <w:szCs w:val="24"/>
        </w:rPr>
        <w:t>that</w:t>
      </w:r>
      <w:r w:rsidR="008F1D7B">
        <w:rPr>
          <w:rFonts w:ascii="Arial" w:hAnsi="Arial" w:cs="Arial"/>
          <w:b w:val="0"/>
          <w:sz w:val="24"/>
          <w:szCs w:val="24"/>
        </w:rPr>
        <w:t xml:space="preserve"> </w:t>
      </w:r>
      <w:r w:rsidR="00DC62AC">
        <w:rPr>
          <w:rFonts w:ascii="Arial" w:hAnsi="Arial" w:cs="Arial"/>
          <w:b w:val="0"/>
          <w:sz w:val="24"/>
          <w:szCs w:val="24"/>
        </w:rPr>
        <w:t>a</w:t>
      </w:r>
      <w:r w:rsidR="003E65D4" w:rsidRPr="003E65D4">
        <w:rPr>
          <w:rFonts w:ascii="Arial" w:hAnsi="Arial" w:cs="Arial"/>
          <w:b w:val="0"/>
          <w:sz w:val="24"/>
          <w:szCs w:val="24"/>
        </w:rPr>
        <w:t>rrangements</w:t>
      </w:r>
      <w:proofErr w:type="gramEnd"/>
      <w:r w:rsidR="003E65D4" w:rsidRPr="003E65D4">
        <w:rPr>
          <w:rFonts w:ascii="Arial" w:hAnsi="Arial" w:cs="Arial"/>
          <w:b w:val="0"/>
          <w:sz w:val="24"/>
          <w:szCs w:val="24"/>
        </w:rPr>
        <w:t xml:space="preserve"> for investing pension funds are in accordance with the approved invest</w:t>
      </w:r>
      <w:r w:rsidR="00B06DA7">
        <w:rPr>
          <w:rFonts w:ascii="Arial" w:hAnsi="Arial" w:cs="Arial"/>
          <w:b w:val="0"/>
          <w:sz w:val="24"/>
          <w:szCs w:val="24"/>
        </w:rPr>
        <w:t xml:space="preserve">ment strategy. We will consider the </w:t>
      </w:r>
      <w:r w:rsidR="003060AE">
        <w:rPr>
          <w:rFonts w:ascii="Arial" w:hAnsi="Arial" w:cs="Arial"/>
          <w:b w:val="0"/>
          <w:sz w:val="24"/>
          <w:szCs w:val="24"/>
        </w:rPr>
        <w:t xml:space="preserve">adequacy and effectiveness of the governance </w:t>
      </w:r>
      <w:r w:rsidR="00B06DA7">
        <w:rPr>
          <w:rFonts w:ascii="Arial" w:hAnsi="Arial" w:cs="Arial"/>
          <w:b w:val="0"/>
          <w:sz w:val="24"/>
          <w:szCs w:val="24"/>
        </w:rPr>
        <w:t xml:space="preserve">arrangements for </w:t>
      </w:r>
      <w:r w:rsidR="00DB2771">
        <w:rPr>
          <w:rFonts w:ascii="Arial" w:hAnsi="Arial" w:cs="Arial"/>
          <w:b w:val="0"/>
          <w:sz w:val="24"/>
          <w:szCs w:val="24"/>
        </w:rPr>
        <w:t>making investment decisions th</w:t>
      </w:r>
      <w:r w:rsidR="00B06DA7">
        <w:rPr>
          <w:rFonts w:ascii="Arial" w:hAnsi="Arial" w:cs="Arial"/>
          <w:b w:val="0"/>
          <w:sz w:val="24"/>
          <w:szCs w:val="24"/>
        </w:rPr>
        <w:t xml:space="preserve">rough the Investment Panel </w:t>
      </w:r>
      <w:r w:rsidR="003060AE">
        <w:rPr>
          <w:rFonts w:ascii="Arial" w:hAnsi="Arial" w:cs="Arial"/>
          <w:b w:val="0"/>
          <w:sz w:val="24"/>
          <w:szCs w:val="24"/>
        </w:rPr>
        <w:t>through to reporting those decisions to the Pension Fund Committee.</w:t>
      </w:r>
      <w:r w:rsidR="00DC62AC">
        <w:rPr>
          <w:rFonts w:ascii="Arial" w:hAnsi="Arial" w:cs="Arial"/>
          <w:b w:val="0"/>
          <w:sz w:val="24"/>
          <w:szCs w:val="24"/>
        </w:rPr>
        <w:t xml:space="preserve"> (2</w:t>
      </w:r>
      <w:r w:rsidR="003060AE">
        <w:rPr>
          <w:rFonts w:ascii="Arial" w:hAnsi="Arial" w:cs="Arial"/>
          <w:b w:val="0"/>
          <w:sz w:val="24"/>
          <w:szCs w:val="24"/>
        </w:rPr>
        <w:t>0</w:t>
      </w:r>
      <w:r w:rsidR="00DC62AC">
        <w:rPr>
          <w:rFonts w:ascii="Arial" w:hAnsi="Arial" w:cs="Arial"/>
          <w:b w:val="0"/>
          <w:sz w:val="24"/>
          <w:szCs w:val="24"/>
        </w:rPr>
        <w:t xml:space="preserve"> </w:t>
      </w:r>
      <w:r w:rsidR="00005D84">
        <w:rPr>
          <w:rFonts w:ascii="Arial" w:hAnsi="Arial" w:cs="Arial"/>
          <w:b w:val="0"/>
          <w:sz w:val="24"/>
          <w:szCs w:val="24"/>
        </w:rPr>
        <w:t>days)</w:t>
      </w:r>
      <w:r w:rsidR="00B06DA7">
        <w:rPr>
          <w:rFonts w:ascii="Arial" w:hAnsi="Arial" w:cs="Arial"/>
          <w:b w:val="0"/>
          <w:sz w:val="24"/>
          <w:szCs w:val="24"/>
        </w:rPr>
        <w:t xml:space="preserve"> </w:t>
      </w:r>
    </w:p>
    <w:p w:rsidR="00BF3D44" w:rsidRDefault="00BC04C1" w:rsidP="00FF06DD">
      <w:pPr>
        <w:pStyle w:val="Heading1"/>
        <w:numPr>
          <w:ilvl w:val="1"/>
          <w:numId w:val="1"/>
        </w:numPr>
        <w:spacing w:before="120" w:after="0" w:line="240" w:lineRule="auto"/>
        <w:rPr>
          <w:rFonts w:ascii="Arial" w:hAnsi="Arial" w:cs="Arial"/>
          <w:b w:val="0"/>
          <w:sz w:val="24"/>
          <w:szCs w:val="24"/>
        </w:rPr>
      </w:pPr>
      <w:r>
        <w:rPr>
          <w:rFonts w:ascii="Arial" w:hAnsi="Arial" w:cs="Arial"/>
          <w:b w:val="0"/>
          <w:sz w:val="24"/>
          <w:szCs w:val="24"/>
        </w:rPr>
        <w:t>We will again provide assurance over the</w:t>
      </w:r>
      <w:r w:rsidR="008F1D7B">
        <w:rPr>
          <w:rFonts w:ascii="Arial" w:hAnsi="Arial" w:cs="Arial"/>
          <w:b w:val="0"/>
          <w:sz w:val="24"/>
          <w:szCs w:val="24"/>
        </w:rPr>
        <w:t xml:space="preserve"> adequacy and effectiveness of the accounting arrangements operated for the pension fund.</w:t>
      </w:r>
      <w:r w:rsidR="00770B1A" w:rsidRPr="00FF06DD">
        <w:rPr>
          <w:rFonts w:ascii="Arial" w:hAnsi="Arial" w:cs="Arial"/>
          <w:b w:val="0"/>
          <w:sz w:val="24"/>
          <w:szCs w:val="24"/>
        </w:rPr>
        <w:t xml:space="preserve"> </w:t>
      </w:r>
      <w:r w:rsidR="00005D84" w:rsidRPr="00FF06DD">
        <w:rPr>
          <w:rFonts w:ascii="Arial" w:hAnsi="Arial" w:cs="Arial"/>
          <w:b w:val="0"/>
          <w:sz w:val="24"/>
          <w:szCs w:val="24"/>
        </w:rPr>
        <w:t>(</w:t>
      </w:r>
      <w:r w:rsidR="00DC62AC" w:rsidRPr="00FF06DD">
        <w:rPr>
          <w:rFonts w:ascii="Arial" w:hAnsi="Arial" w:cs="Arial"/>
          <w:b w:val="0"/>
          <w:sz w:val="24"/>
          <w:szCs w:val="24"/>
        </w:rPr>
        <w:t>10</w:t>
      </w:r>
      <w:r w:rsidR="001A0118" w:rsidRPr="00FF06DD">
        <w:rPr>
          <w:rFonts w:ascii="Arial" w:hAnsi="Arial" w:cs="Arial"/>
          <w:b w:val="0"/>
          <w:sz w:val="24"/>
          <w:szCs w:val="24"/>
        </w:rPr>
        <w:t xml:space="preserve"> </w:t>
      </w:r>
      <w:r w:rsidR="00005D84" w:rsidRPr="00FF06DD">
        <w:rPr>
          <w:rFonts w:ascii="Arial" w:hAnsi="Arial" w:cs="Arial"/>
          <w:b w:val="0"/>
          <w:sz w:val="24"/>
          <w:szCs w:val="24"/>
        </w:rPr>
        <w:t>days)</w:t>
      </w:r>
    </w:p>
    <w:p w:rsidR="007B0161" w:rsidRDefault="0064085C" w:rsidP="0064085C">
      <w:pPr>
        <w:pStyle w:val="Heading1"/>
        <w:numPr>
          <w:ilvl w:val="1"/>
          <w:numId w:val="1"/>
        </w:numPr>
        <w:spacing w:before="120" w:after="0" w:line="240" w:lineRule="auto"/>
        <w:rPr>
          <w:rFonts w:ascii="Arial" w:hAnsi="Arial" w:cs="Arial"/>
          <w:b w:val="0"/>
          <w:sz w:val="24"/>
        </w:rPr>
      </w:pPr>
      <w:r w:rsidRPr="008F1D7B">
        <w:rPr>
          <w:rFonts w:ascii="Arial" w:hAnsi="Arial" w:cs="Arial"/>
          <w:b w:val="0"/>
          <w:sz w:val="24"/>
        </w:rPr>
        <w:t xml:space="preserve">As part of the pension fund's </w:t>
      </w:r>
      <w:r w:rsidR="008F1D7B" w:rsidRPr="008F1D7B">
        <w:rPr>
          <w:rFonts w:ascii="Arial" w:hAnsi="Arial" w:cs="Arial"/>
          <w:b w:val="0"/>
          <w:sz w:val="24"/>
        </w:rPr>
        <w:t>ongoing review of t</w:t>
      </w:r>
      <w:r w:rsidRPr="008F1D7B">
        <w:rPr>
          <w:rFonts w:ascii="Arial" w:hAnsi="Arial" w:cs="Arial"/>
          <w:b w:val="0"/>
          <w:sz w:val="24"/>
        </w:rPr>
        <w:t xml:space="preserve">he current fund manager mandates, </w:t>
      </w:r>
      <w:r w:rsidR="008F1D7B" w:rsidRPr="008F1D7B">
        <w:rPr>
          <w:rFonts w:ascii="Arial" w:hAnsi="Arial" w:cs="Arial"/>
          <w:b w:val="0"/>
          <w:sz w:val="24"/>
        </w:rPr>
        <w:t>w</w:t>
      </w:r>
      <w:r w:rsidRPr="008F1D7B">
        <w:rPr>
          <w:rFonts w:ascii="Arial" w:hAnsi="Arial" w:cs="Arial"/>
          <w:b w:val="0"/>
          <w:sz w:val="24"/>
        </w:rPr>
        <w:t>e will review the adequacy of the processes emp</w:t>
      </w:r>
      <w:r w:rsidR="008F1D7B" w:rsidRPr="008F1D7B">
        <w:rPr>
          <w:rFonts w:ascii="Arial" w:hAnsi="Arial" w:cs="Arial"/>
          <w:b w:val="0"/>
          <w:sz w:val="24"/>
        </w:rPr>
        <w:t>loyed for the procurement of</w:t>
      </w:r>
      <w:r w:rsidRPr="008F1D7B">
        <w:rPr>
          <w:rFonts w:ascii="Arial" w:hAnsi="Arial" w:cs="Arial"/>
          <w:b w:val="0"/>
          <w:sz w:val="24"/>
        </w:rPr>
        <w:t xml:space="preserve"> the </w:t>
      </w:r>
      <w:r w:rsidR="008F1D7B" w:rsidRPr="008F1D7B">
        <w:rPr>
          <w:rFonts w:ascii="Arial" w:hAnsi="Arial" w:cs="Arial"/>
          <w:b w:val="0"/>
          <w:sz w:val="24"/>
        </w:rPr>
        <w:t>property fund mandate.</w:t>
      </w:r>
      <w:r w:rsidR="003060AE">
        <w:rPr>
          <w:rFonts w:ascii="Arial" w:hAnsi="Arial" w:cs="Arial"/>
          <w:b w:val="0"/>
          <w:sz w:val="24"/>
        </w:rPr>
        <w:t xml:space="preserve"> (10 days)</w:t>
      </w:r>
    </w:p>
    <w:p w:rsidR="00386CFC" w:rsidRDefault="00BA7A38" w:rsidP="00BF3D44">
      <w:pPr>
        <w:pStyle w:val="Heading1"/>
        <w:numPr>
          <w:ilvl w:val="1"/>
          <w:numId w:val="1"/>
        </w:numPr>
        <w:spacing w:before="120" w:after="0" w:line="240" w:lineRule="auto"/>
        <w:rPr>
          <w:rFonts w:ascii="Arial" w:hAnsi="Arial" w:cs="Arial"/>
          <w:b w:val="0"/>
          <w:bCs w:val="0"/>
          <w:kern w:val="0"/>
          <w:sz w:val="24"/>
          <w:szCs w:val="24"/>
        </w:rPr>
      </w:pPr>
      <w:r w:rsidRPr="00BF3D44">
        <w:rPr>
          <w:rFonts w:ascii="Arial" w:hAnsi="Arial" w:cs="Arial"/>
          <w:b w:val="0"/>
          <w:bCs w:val="0"/>
          <w:kern w:val="0"/>
          <w:sz w:val="24"/>
          <w:szCs w:val="24"/>
        </w:rPr>
        <w:t xml:space="preserve">Our work will continue to take maximum advantage of existing management assurance processes and reports, and follow an approach in line with guidance issued by the Society of County Treasurers and CIPFA. This will involve using statutory reporting from the investment managers and custodian in the first instance. These documents will be used to gain assurance over the external investment management activities where appropriate. </w:t>
      </w:r>
      <w:r w:rsidR="003060AE">
        <w:rPr>
          <w:rFonts w:ascii="Arial" w:hAnsi="Arial" w:cs="Arial"/>
          <w:b w:val="0"/>
          <w:bCs w:val="0"/>
          <w:kern w:val="0"/>
          <w:sz w:val="24"/>
          <w:szCs w:val="24"/>
        </w:rPr>
        <w:t xml:space="preserve">(3 </w:t>
      </w:r>
      <w:r w:rsidR="00005D84">
        <w:rPr>
          <w:rFonts w:ascii="Arial" w:hAnsi="Arial" w:cs="Arial"/>
          <w:b w:val="0"/>
          <w:bCs w:val="0"/>
          <w:kern w:val="0"/>
          <w:sz w:val="24"/>
          <w:szCs w:val="24"/>
        </w:rPr>
        <w:t>days)</w:t>
      </w:r>
    </w:p>
    <w:p w:rsidR="003060AE" w:rsidRDefault="003060AE">
      <w:pPr>
        <w:pStyle w:val="BodyText"/>
        <w:ind w:left="851"/>
        <w:rPr>
          <w:rFonts w:ascii="Arial" w:hAnsi="Arial" w:cs="Arial"/>
          <w:b/>
          <w:i/>
          <w:sz w:val="24"/>
          <w:szCs w:val="24"/>
        </w:rPr>
      </w:pPr>
    </w:p>
    <w:p w:rsidR="00386CFC" w:rsidRPr="00005D84" w:rsidRDefault="001A0118">
      <w:pPr>
        <w:pStyle w:val="BodyText"/>
        <w:ind w:left="851"/>
        <w:rPr>
          <w:rFonts w:ascii="Arial" w:hAnsi="Arial" w:cs="Arial"/>
          <w:b/>
          <w:i/>
          <w:sz w:val="24"/>
          <w:szCs w:val="24"/>
        </w:rPr>
      </w:pPr>
      <w:r>
        <w:rPr>
          <w:rFonts w:ascii="Arial" w:hAnsi="Arial" w:cs="Arial"/>
          <w:b/>
          <w:i/>
          <w:sz w:val="24"/>
          <w:szCs w:val="24"/>
        </w:rPr>
        <w:t>Pension</w:t>
      </w:r>
      <w:r w:rsidRPr="00005D84">
        <w:rPr>
          <w:rFonts w:ascii="Arial" w:hAnsi="Arial" w:cs="Arial"/>
          <w:b/>
          <w:i/>
          <w:sz w:val="24"/>
          <w:szCs w:val="24"/>
        </w:rPr>
        <w:t xml:space="preserve"> administration </w:t>
      </w:r>
    </w:p>
    <w:p w:rsidR="008F1D7B" w:rsidRDefault="00005D84" w:rsidP="008F1D7B">
      <w:pPr>
        <w:pStyle w:val="Heading1"/>
        <w:numPr>
          <w:ilvl w:val="1"/>
          <w:numId w:val="1"/>
        </w:numPr>
        <w:spacing w:before="120" w:after="0" w:line="240" w:lineRule="auto"/>
        <w:rPr>
          <w:rFonts w:ascii="Arial" w:hAnsi="Arial" w:cs="Arial"/>
          <w:b w:val="0"/>
          <w:sz w:val="24"/>
        </w:rPr>
      </w:pPr>
      <w:r>
        <w:rPr>
          <w:rFonts w:ascii="Arial" w:hAnsi="Arial" w:cs="Arial"/>
          <w:b w:val="0"/>
          <w:sz w:val="24"/>
          <w:szCs w:val="24"/>
        </w:rPr>
        <w:t xml:space="preserve"> </w:t>
      </w:r>
      <w:r w:rsidR="008F1D7B" w:rsidRPr="002A0475">
        <w:rPr>
          <w:rFonts w:ascii="Arial" w:hAnsi="Arial" w:cs="Arial"/>
          <w:b w:val="0"/>
          <w:sz w:val="24"/>
        </w:rPr>
        <w:t xml:space="preserve">In the same way that we are required to consider controls over the </w:t>
      </w:r>
      <w:r w:rsidR="00E86449">
        <w:rPr>
          <w:rFonts w:ascii="Arial" w:hAnsi="Arial" w:cs="Arial"/>
          <w:b w:val="0"/>
          <w:sz w:val="24"/>
        </w:rPr>
        <w:t>c</w:t>
      </w:r>
      <w:r w:rsidR="008F1D7B" w:rsidRPr="002A0475">
        <w:rPr>
          <w:rFonts w:ascii="Arial" w:hAnsi="Arial" w:cs="Arial"/>
          <w:b w:val="0"/>
          <w:sz w:val="24"/>
        </w:rPr>
        <w:t xml:space="preserve">ounty </w:t>
      </w:r>
      <w:r w:rsidR="00E86449">
        <w:rPr>
          <w:rFonts w:ascii="Arial" w:hAnsi="Arial" w:cs="Arial"/>
          <w:b w:val="0"/>
          <w:sz w:val="24"/>
        </w:rPr>
        <w:t>c</w:t>
      </w:r>
      <w:r w:rsidR="008F1D7B" w:rsidRPr="002A0475">
        <w:rPr>
          <w:rFonts w:ascii="Arial" w:hAnsi="Arial" w:cs="Arial"/>
          <w:b w:val="0"/>
          <w:sz w:val="24"/>
        </w:rPr>
        <w:t>ouncil's corporate financial systems, any assessment of the risks to the pension fund will require our assurance over the key controls over the administration of the fund. This year's work will be focussed on testing the key controls we documented as part of last year's review</w:t>
      </w:r>
      <w:r w:rsidR="008F1D7B">
        <w:rPr>
          <w:rFonts w:ascii="Arial" w:hAnsi="Arial" w:cs="Arial"/>
          <w:b w:val="0"/>
          <w:sz w:val="24"/>
        </w:rPr>
        <w:t>,</w:t>
      </w:r>
      <w:r w:rsidR="008F1D7B" w:rsidRPr="002A0475">
        <w:rPr>
          <w:rFonts w:ascii="Arial" w:hAnsi="Arial" w:cs="Arial"/>
          <w:b w:val="0"/>
          <w:sz w:val="24"/>
        </w:rPr>
        <w:t xml:space="preserve"> </w:t>
      </w:r>
      <w:r w:rsidR="003060AE">
        <w:rPr>
          <w:rFonts w:ascii="Arial" w:hAnsi="Arial" w:cs="Arial"/>
          <w:b w:val="0"/>
          <w:sz w:val="24"/>
        </w:rPr>
        <w:t xml:space="preserve">including the system for </w:t>
      </w:r>
      <w:r w:rsidR="008F1D7B">
        <w:rPr>
          <w:rFonts w:ascii="Arial" w:hAnsi="Arial" w:cs="Arial"/>
          <w:b w:val="0"/>
          <w:sz w:val="24"/>
        </w:rPr>
        <w:t xml:space="preserve">auto enrolment </w:t>
      </w:r>
      <w:r w:rsidR="008F1D7B" w:rsidRPr="002A0475">
        <w:rPr>
          <w:rFonts w:ascii="Arial" w:hAnsi="Arial" w:cs="Arial"/>
          <w:b w:val="0"/>
          <w:sz w:val="24"/>
        </w:rPr>
        <w:t xml:space="preserve">of </w:t>
      </w:r>
      <w:r w:rsidR="003060AE">
        <w:rPr>
          <w:rFonts w:ascii="Arial" w:hAnsi="Arial" w:cs="Arial"/>
          <w:b w:val="0"/>
          <w:sz w:val="24"/>
        </w:rPr>
        <w:t>new employees. (30</w:t>
      </w:r>
      <w:r w:rsidR="008F1D7B">
        <w:rPr>
          <w:rFonts w:ascii="Arial" w:hAnsi="Arial" w:cs="Arial"/>
          <w:b w:val="0"/>
          <w:sz w:val="24"/>
        </w:rPr>
        <w:t xml:space="preserve"> days)</w:t>
      </w:r>
    </w:p>
    <w:p w:rsidR="003060AE" w:rsidRPr="003060AE" w:rsidRDefault="003060AE" w:rsidP="003060AE"/>
    <w:p w:rsidR="003060AE" w:rsidRDefault="003060AE" w:rsidP="003060AE">
      <w:pPr>
        <w:pStyle w:val="Heading1"/>
        <w:numPr>
          <w:ilvl w:val="1"/>
          <w:numId w:val="1"/>
        </w:numPr>
        <w:spacing w:before="120" w:after="0" w:line="240" w:lineRule="auto"/>
        <w:rPr>
          <w:rFonts w:ascii="Arial" w:hAnsi="Arial" w:cs="Arial"/>
          <w:b w:val="0"/>
          <w:sz w:val="24"/>
          <w:szCs w:val="24"/>
        </w:rPr>
      </w:pPr>
      <w:r>
        <w:rPr>
          <w:rFonts w:ascii="Arial" w:hAnsi="Arial" w:cs="Arial"/>
          <w:b w:val="0"/>
          <w:sz w:val="24"/>
          <w:szCs w:val="24"/>
        </w:rPr>
        <w:t>In addition to the main pensions administration review, we will pr</w:t>
      </w:r>
      <w:r w:rsidR="00302587">
        <w:rPr>
          <w:rFonts w:ascii="Arial" w:hAnsi="Arial" w:cs="Arial"/>
          <w:b w:val="0"/>
          <w:sz w:val="24"/>
          <w:szCs w:val="24"/>
        </w:rPr>
        <w:t>ovide assurance over the system</w:t>
      </w:r>
      <w:r>
        <w:rPr>
          <w:rFonts w:ascii="Arial" w:hAnsi="Arial" w:cs="Arial"/>
          <w:b w:val="0"/>
          <w:sz w:val="24"/>
          <w:szCs w:val="24"/>
        </w:rPr>
        <w:t xml:space="preserve"> operated for the collectio</w:t>
      </w:r>
      <w:r w:rsidR="00B9152B">
        <w:rPr>
          <w:rFonts w:ascii="Arial" w:hAnsi="Arial" w:cs="Arial"/>
          <w:b w:val="0"/>
          <w:sz w:val="24"/>
          <w:szCs w:val="24"/>
        </w:rPr>
        <w:t>n of employer contributions. (5</w:t>
      </w:r>
      <w:r>
        <w:rPr>
          <w:rFonts w:ascii="Arial" w:hAnsi="Arial" w:cs="Arial"/>
          <w:b w:val="0"/>
          <w:sz w:val="24"/>
          <w:szCs w:val="24"/>
        </w:rPr>
        <w:t xml:space="preserve"> days)</w:t>
      </w:r>
    </w:p>
    <w:p w:rsidR="003060AE" w:rsidRPr="003060AE" w:rsidRDefault="003060AE" w:rsidP="003060AE"/>
    <w:p w:rsidR="00005D84" w:rsidRPr="00005D84" w:rsidRDefault="00005D84" w:rsidP="00005D84">
      <w:pPr>
        <w:pStyle w:val="BodyText"/>
        <w:ind w:left="851"/>
        <w:rPr>
          <w:rFonts w:ascii="Arial" w:hAnsi="Arial" w:cs="Arial"/>
          <w:b/>
          <w:i/>
          <w:sz w:val="24"/>
          <w:szCs w:val="24"/>
        </w:rPr>
      </w:pPr>
      <w:r w:rsidRPr="00005D84">
        <w:rPr>
          <w:rFonts w:ascii="Arial" w:hAnsi="Arial" w:cs="Arial"/>
          <w:b/>
          <w:i/>
          <w:sz w:val="24"/>
          <w:szCs w:val="24"/>
        </w:rPr>
        <w:t>Follow Up</w:t>
      </w:r>
    </w:p>
    <w:p w:rsidR="00005D84" w:rsidRDefault="00005D84" w:rsidP="00005D84">
      <w:pPr>
        <w:pStyle w:val="Heading1"/>
        <w:numPr>
          <w:ilvl w:val="1"/>
          <w:numId w:val="1"/>
        </w:numPr>
        <w:spacing w:before="120" w:after="0" w:line="240" w:lineRule="auto"/>
        <w:rPr>
          <w:rFonts w:ascii="Arial" w:hAnsi="Arial" w:cs="Arial"/>
          <w:b w:val="0"/>
          <w:sz w:val="24"/>
        </w:rPr>
      </w:pPr>
      <w:r w:rsidRPr="00005D84">
        <w:rPr>
          <w:rFonts w:ascii="Arial" w:hAnsi="Arial" w:cs="Arial"/>
          <w:b w:val="0"/>
          <w:sz w:val="24"/>
        </w:rPr>
        <w:t>Audit resources have been identified to ensure that all reviews are followed up and our findings are re-assessed as the actions previously agreed with management are implemented.</w:t>
      </w:r>
      <w:r>
        <w:rPr>
          <w:rFonts w:ascii="Arial" w:hAnsi="Arial" w:cs="Arial"/>
          <w:b w:val="0"/>
          <w:sz w:val="24"/>
        </w:rPr>
        <w:t xml:space="preserve"> (</w:t>
      </w:r>
      <w:r w:rsidR="003060AE">
        <w:rPr>
          <w:rFonts w:ascii="Arial" w:hAnsi="Arial" w:cs="Arial"/>
          <w:b w:val="0"/>
          <w:sz w:val="24"/>
        </w:rPr>
        <w:t>2</w:t>
      </w:r>
      <w:r>
        <w:rPr>
          <w:rFonts w:ascii="Arial" w:hAnsi="Arial" w:cs="Arial"/>
          <w:b w:val="0"/>
          <w:sz w:val="24"/>
        </w:rPr>
        <w:t xml:space="preserve"> days)</w:t>
      </w:r>
    </w:p>
    <w:p w:rsidR="00DC62AC" w:rsidRPr="00DC62AC" w:rsidRDefault="00DC62AC" w:rsidP="00DC62AC"/>
    <w:p w:rsidR="008F1D7B" w:rsidRDefault="008F1D7B" w:rsidP="00005D84">
      <w:pPr>
        <w:ind w:left="709"/>
        <w:rPr>
          <w:rFonts w:ascii="Arial" w:hAnsi="Arial" w:cs="Arial"/>
          <w:b/>
          <w:i/>
          <w:sz w:val="24"/>
          <w:szCs w:val="24"/>
        </w:rPr>
      </w:pPr>
    </w:p>
    <w:p w:rsidR="00E86449" w:rsidRDefault="00E86449" w:rsidP="00005D84">
      <w:pPr>
        <w:ind w:left="709"/>
        <w:rPr>
          <w:rFonts w:ascii="Arial" w:hAnsi="Arial" w:cs="Arial"/>
          <w:b/>
          <w:i/>
          <w:sz w:val="24"/>
          <w:szCs w:val="24"/>
        </w:rPr>
      </w:pPr>
    </w:p>
    <w:p w:rsidR="00E86449" w:rsidRDefault="00E86449" w:rsidP="00005D84">
      <w:pPr>
        <w:ind w:left="709"/>
        <w:rPr>
          <w:rFonts w:ascii="Arial" w:hAnsi="Arial" w:cs="Arial"/>
          <w:b/>
          <w:i/>
          <w:sz w:val="24"/>
          <w:szCs w:val="24"/>
        </w:rPr>
      </w:pPr>
      <w:bookmarkStart w:id="0" w:name="_GoBack"/>
      <w:bookmarkEnd w:id="0"/>
    </w:p>
    <w:p w:rsidR="008F1D7B" w:rsidRDefault="008F1D7B" w:rsidP="00005D84">
      <w:pPr>
        <w:ind w:left="709"/>
        <w:rPr>
          <w:rFonts w:ascii="Arial" w:hAnsi="Arial" w:cs="Arial"/>
          <w:b/>
          <w:i/>
          <w:sz w:val="24"/>
          <w:szCs w:val="24"/>
        </w:rPr>
      </w:pPr>
    </w:p>
    <w:p w:rsidR="00005D84" w:rsidRPr="00005D84" w:rsidRDefault="00005D84" w:rsidP="00005D84">
      <w:pPr>
        <w:ind w:left="709"/>
        <w:rPr>
          <w:rFonts w:ascii="Arial" w:hAnsi="Arial" w:cs="Arial"/>
          <w:b/>
          <w:i/>
          <w:sz w:val="24"/>
          <w:szCs w:val="24"/>
        </w:rPr>
      </w:pPr>
      <w:r w:rsidRPr="00005D84">
        <w:rPr>
          <w:rFonts w:ascii="Arial" w:hAnsi="Arial" w:cs="Arial"/>
          <w:b/>
          <w:i/>
          <w:sz w:val="24"/>
          <w:szCs w:val="24"/>
        </w:rPr>
        <w:lastRenderedPageBreak/>
        <w:t>General Management</w:t>
      </w:r>
    </w:p>
    <w:p w:rsidR="00005D84" w:rsidRDefault="00005D84" w:rsidP="00005D84">
      <w:pPr>
        <w:pStyle w:val="Heading1"/>
        <w:numPr>
          <w:ilvl w:val="1"/>
          <w:numId w:val="1"/>
        </w:numPr>
        <w:spacing w:before="120" w:after="0" w:line="240" w:lineRule="auto"/>
        <w:rPr>
          <w:rFonts w:ascii="Arial" w:hAnsi="Arial" w:cs="Arial"/>
          <w:b w:val="0"/>
          <w:sz w:val="24"/>
        </w:rPr>
      </w:pPr>
      <w:r>
        <w:rPr>
          <w:rFonts w:ascii="Arial" w:hAnsi="Arial" w:cs="Arial"/>
          <w:b w:val="0"/>
          <w:sz w:val="24"/>
        </w:rPr>
        <w:t xml:space="preserve">An allocation </w:t>
      </w:r>
      <w:r w:rsidR="001A0118">
        <w:rPr>
          <w:rFonts w:ascii="Arial" w:hAnsi="Arial" w:cs="Arial"/>
          <w:b w:val="0"/>
          <w:sz w:val="24"/>
        </w:rPr>
        <w:t>of 5</w:t>
      </w:r>
      <w:r w:rsidR="00DC62AC">
        <w:rPr>
          <w:rFonts w:ascii="Arial" w:hAnsi="Arial" w:cs="Arial"/>
          <w:b w:val="0"/>
          <w:sz w:val="24"/>
        </w:rPr>
        <w:t xml:space="preserve"> </w:t>
      </w:r>
      <w:r>
        <w:rPr>
          <w:rFonts w:ascii="Arial" w:hAnsi="Arial" w:cs="Arial"/>
          <w:b w:val="0"/>
          <w:sz w:val="24"/>
        </w:rPr>
        <w:t>days has also been made to cover other management and tasks in support of the internal audit service to the pension fund:</w:t>
      </w:r>
    </w:p>
    <w:p w:rsidR="00005D84" w:rsidRPr="00005D84" w:rsidRDefault="00005D84" w:rsidP="00005D84"/>
    <w:p w:rsidR="00005D84" w:rsidRDefault="00005D84" w:rsidP="00005D84">
      <w:pPr>
        <w:pStyle w:val="ListParagraph"/>
        <w:numPr>
          <w:ilvl w:val="0"/>
          <w:numId w:val="35"/>
        </w:numPr>
        <w:spacing w:after="200" w:line="276" w:lineRule="auto"/>
        <w:rPr>
          <w:rFonts w:cs="Arial"/>
        </w:rPr>
      </w:pPr>
      <w:r>
        <w:rPr>
          <w:rFonts w:cs="Arial"/>
        </w:rPr>
        <w:t>Attendance at meetings;</w:t>
      </w:r>
    </w:p>
    <w:p w:rsidR="00005D84" w:rsidRDefault="003060AE" w:rsidP="00005D84">
      <w:pPr>
        <w:pStyle w:val="ListParagraph"/>
        <w:numPr>
          <w:ilvl w:val="0"/>
          <w:numId w:val="35"/>
        </w:numPr>
        <w:spacing w:after="200" w:line="276" w:lineRule="auto"/>
        <w:rPr>
          <w:rFonts w:cs="Arial"/>
        </w:rPr>
      </w:pPr>
      <w:r>
        <w:rPr>
          <w:rFonts w:cs="Arial"/>
        </w:rPr>
        <w:t>Liaison with external audit</w:t>
      </w:r>
      <w:r w:rsidR="00005D84">
        <w:rPr>
          <w:rFonts w:cs="Arial"/>
        </w:rPr>
        <w:t>; and</w:t>
      </w:r>
    </w:p>
    <w:p w:rsidR="00005D84" w:rsidRDefault="00005D84" w:rsidP="00005D84">
      <w:pPr>
        <w:pStyle w:val="ListParagraph"/>
        <w:numPr>
          <w:ilvl w:val="0"/>
          <w:numId w:val="35"/>
        </w:numPr>
        <w:spacing w:before="120" w:after="120" w:line="276" w:lineRule="auto"/>
        <w:rPr>
          <w:rFonts w:ascii="Calibri" w:hAnsi="Calibri"/>
          <w:sz w:val="22"/>
          <w:szCs w:val="22"/>
        </w:rPr>
      </w:pPr>
      <w:r>
        <w:rPr>
          <w:rFonts w:cs="Arial"/>
        </w:rPr>
        <w:t>Central reporting.</w:t>
      </w:r>
    </w:p>
    <w:p w:rsidR="005D71F5" w:rsidRDefault="0083173D" w:rsidP="00005D84">
      <w:pPr>
        <w:pStyle w:val="Heading1"/>
        <w:numPr>
          <w:ilvl w:val="1"/>
          <w:numId w:val="1"/>
        </w:numPr>
        <w:spacing w:before="120" w:after="0" w:line="240" w:lineRule="auto"/>
        <w:rPr>
          <w:rFonts w:ascii="Arial" w:hAnsi="Arial" w:cs="Arial"/>
          <w:b w:val="0"/>
          <w:sz w:val="24"/>
          <w:szCs w:val="24"/>
        </w:rPr>
      </w:pPr>
      <w:r>
        <w:rPr>
          <w:rFonts w:ascii="Arial" w:hAnsi="Arial" w:cs="Arial"/>
          <w:b w:val="0"/>
          <w:sz w:val="24"/>
          <w:szCs w:val="24"/>
        </w:rPr>
        <w:t xml:space="preserve">The proposed plan amounts to </w:t>
      </w:r>
      <w:r w:rsidR="00B9152B">
        <w:rPr>
          <w:rFonts w:ascii="Arial" w:hAnsi="Arial" w:cs="Arial"/>
          <w:b w:val="0"/>
          <w:sz w:val="24"/>
          <w:szCs w:val="24"/>
        </w:rPr>
        <w:t>85</w:t>
      </w:r>
      <w:r w:rsidR="003060AE">
        <w:rPr>
          <w:rFonts w:ascii="Arial" w:hAnsi="Arial" w:cs="Arial"/>
          <w:b w:val="0"/>
          <w:sz w:val="24"/>
          <w:szCs w:val="24"/>
        </w:rPr>
        <w:t xml:space="preserve"> </w:t>
      </w:r>
      <w:r w:rsidR="00822ADA">
        <w:rPr>
          <w:rFonts w:ascii="Arial" w:hAnsi="Arial" w:cs="Arial"/>
          <w:b w:val="0"/>
          <w:sz w:val="24"/>
          <w:szCs w:val="24"/>
        </w:rPr>
        <w:t xml:space="preserve">days, which is an increase of 10 days to the 2012/13 audit plan. This is not reflective of a perceived increase in risk surrounding the pension fund, but relates to the cyclical nature of some of the audit reviews we undertake. We have not reviewed the system for collecting employer contributions over the last three years and feel it is timely to include </w:t>
      </w:r>
      <w:r w:rsidR="003D79E0">
        <w:rPr>
          <w:rFonts w:ascii="Arial" w:hAnsi="Arial" w:cs="Arial"/>
          <w:b w:val="0"/>
          <w:sz w:val="24"/>
          <w:szCs w:val="24"/>
        </w:rPr>
        <w:t xml:space="preserve">this area </w:t>
      </w:r>
      <w:r w:rsidR="00822ADA">
        <w:rPr>
          <w:rFonts w:ascii="Arial" w:hAnsi="Arial" w:cs="Arial"/>
          <w:b w:val="0"/>
          <w:sz w:val="24"/>
          <w:szCs w:val="24"/>
        </w:rPr>
        <w:t>in the audit plan this year.</w:t>
      </w:r>
    </w:p>
    <w:p w:rsidR="00005D84" w:rsidRPr="00005D84" w:rsidRDefault="00005D84" w:rsidP="00005D84"/>
    <w:p w:rsidR="00D77E7B" w:rsidRDefault="00D77E7B" w:rsidP="00883B19">
      <w:pPr>
        <w:rPr>
          <w:rFonts w:ascii="Arial" w:hAnsi="Arial" w:cs="Arial"/>
          <w:sz w:val="24"/>
          <w:szCs w:val="24"/>
        </w:rPr>
      </w:pPr>
    </w:p>
    <w:p w:rsidR="00D77E7B" w:rsidRPr="00FE327B" w:rsidRDefault="00BA7A38">
      <w:pPr>
        <w:pStyle w:val="BodyText"/>
        <w:numPr>
          <w:ilvl w:val="0"/>
          <w:numId w:val="1"/>
        </w:numPr>
        <w:rPr>
          <w:rFonts w:ascii="Arial" w:hAnsi="Arial" w:cs="Arial"/>
          <w:b/>
          <w:sz w:val="24"/>
          <w:szCs w:val="24"/>
        </w:rPr>
      </w:pPr>
      <w:r w:rsidRPr="00BA7A38">
        <w:rPr>
          <w:rFonts w:ascii="Arial" w:hAnsi="Arial" w:cs="Arial"/>
          <w:b/>
          <w:sz w:val="24"/>
          <w:szCs w:val="24"/>
        </w:rPr>
        <w:t>Scope, responsibilities and assurance</w:t>
      </w:r>
    </w:p>
    <w:p w:rsidR="00D77E7B" w:rsidRPr="00FE327B" w:rsidRDefault="00BA7A38" w:rsidP="00E10D69">
      <w:pPr>
        <w:pStyle w:val="Heading1"/>
        <w:numPr>
          <w:ilvl w:val="1"/>
          <w:numId w:val="1"/>
        </w:numPr>
        <w:spacing w:before="120" w:after="0" w:line="240" w:lineRule="auto"/>
        <w:rPr>
          <w:rFonts w:ascii="Arial" w:hAnsi="Arial" w:cs="Arial"/>
          <w:b w:val="0"/>
          <w:sz w:val="24"/>
          <w:szCs w:val="24"/>
        </w:rPr>
      </w:pPr>
      <w:r w:rsidRPr="00BA7A38">
        <w:rPr>
          <w:rFonts w:ascii="Arial" w:hAnsi="Arial" w:cs="Arial"/>
          <w:b w:val="0"/>
          <w:sz w:val="24"/>
          <w:szCs w:val="24"/>
        </w:rPr>
        <w:t xml:space="preserve">Details of the scope of our work, and management's and internal audit's responsibilities regarding systems of risk management, internal control are explained in pages </w:t>
      </w:r>
      <w:r w:rsidR="003060AE">
        <w:rPr>
          <w:rFonts w:ascii="Arial" w:hAnsi="Arial" w:cs="Arial"/>
          <w:b w:val="0"/>
          <w:sz w:val="24"/>
          <w:szCs w:val="24"/>
        </w:rPr>
        <w:t>8</w:t>
      </w:r>
      <w:r w:rsidR="003D08E7">
        <w:rPr>
          <w:rFonts w:ascii="Arial" w:hAnsi="Arial" w:cs="Arial"/>
          <w:b w:val="0"/>
          <w:sz w:val="24"/>
          <w:szCs w:val="24"/>
        </w:rPr>
        <w:t xml:space="preserve"> </w:t>
      </w:r>
      <w:r w:rsidR="001A0118" w:rsidRPr="00BA7A38">
        <w:rPr>
          <w:rFonts w:ascii="Arial" w:hAnsi="Arial" w:cs="Arial"/>
          <w:b w:val="0"/>
          <w:sz w:val="24"/>
          <w:szCs w:val="24"/>
        </w:rPr>
        <w:t>and</w:t>
      </w:r>
      <w:r w:rsidR="003D08E7">
        <w:rPr>
          <w:rFonts w:ascii="Arial" w:hAnsi="Arial" w:cs="Arial"/>
          <w:b w:val="0"/>
          <w:sz w:val="24"/>
          <w:szCs w:val="24"/>
        </w:rPr>
        <w:t xml:space="preserve"> </w:t>
      </w:r>
      <w:r w:rsidR="003060AE">
        <w:rPr>
          <w:rFonts w:ascii="Arial" w:hAnsi="Arial" w:cs="Arial"/>
          <w:b w:val="0"/>
          <w:sz w:val="24"/>
          <w:szCs w:val="24"/>
        </w:rPr>
        <w:t>9</w:t>
      </w:r>
      <w:r w:rsidR="001A0118">
        <w:rPr>
          <w:rFonts w:ascii="Arial" w:hAnsi="Arial" w:cs="Arial"/>
          <w:b w:val="0"/>
          <w:sz w:val="24"/>
          <w:szCs w:val="24"/>
        </w:rPr>
        <w:t xml:space="preserve">. </w:t>
      </w:r>
      <w:r w:rsidRPr="00BA7A38">
        <w:rPr>
          <w:rFonts w:ascii="Arial" w:hAnsi="Arial" w:cs="Arial"/>
          <w:b w:val="0"/>
          <w:sz w:val="24"/>
          <w:szCs w:val="24"/>
        </w:rPr>
        <w:t>This sets out the basis of our assessment and limitations on the assurance that we can provide.</w:t>
      </w:r>
    </w:p>
    <w:p w:rsidR="00D77E7B" w:rsidRPr="00FE327B" w:rsidRDefault="00D77E7B" w:rsidP="00E10D69">
      <w:pPr>
        <w:rPr>
          <w:rFonts w:ascii="Arial" w:hAnsi="Arial" w:cs="Arial"/>
          <w:sz w:val="24"/>
          <w:szCs w:val="24"/>
        </w:rPr>
      </w:pPr>
    </w:p>
    <w:p w:rsidR="00D77E7B" w:rsidRPr="00FE327B" w:rsidRDefault="00B0454E">
      <w:pPr>
        <w:pStyle w:val="BodyText"/>
        <w:ind w:left="900"/>
        <w:rPr>
          <w:rFonts w:ascii="Arial" w:hAnsi="Arial" w:cs="Arial"/>
          <w:i/>
          <w:sz w:val="24"/>
          <w:szCs w:val="24"/>
        </w:rPr>
      </w:pPr>
      <w:r>
        <w:rPr>
          <w:rFonts w:ascii="Arial" w:hAnsi="Arial" w:cs="Arial"/>
          <w:i/>
          <w:sz w:val="24"/>
          <w:szCs w:val="24"/>
        </w:rPr>
        <w:t>Access to this report and responsibility to third parties</w:t>
      </w:r>
    </w:p>
    <w:p w:rsidR="00D77E7B" w:rsidRDefault="00BA7A38" w:rsidP="00E10D69">
      <w:pPr>
        <w:pStyle w:val="Heading1"/>
        <w:numPr>
          <w:ilvl w:val="1"/>
          <w:numId w:val="1"/>
        </w:numPr>
        <w:spacing w:before="120" w:after="0" w:line="240" w:lineRule="auto"/>
        <w:rPr>
          <w:rFonts w:ascii="Arial" w:hAnsi="Arial"/>
          <w:b w:val="0"/>
          <w:sz w:val="24"/>
        </w:rPr>
      </w:pPr>
      <w:r w:rsidRPr="00BA7A38">
        <w:rPr>
          <w:rFonts w:ascii="Arial" w:hAnsi="Arial" w:cs="Arial"/>
          <w:b w:val="0"/>
          <w:sz w:val="24"/>
          <w:szCs w:val="24"/>
        </w:rPr>
        <w:t>We have prepared this report solely for Lancashire County Council</w:t>
      </w:r>
      <w:r w:rsidR="001E59A6">
        <w:rPr>
          <w:rFonts w:ascii="Arial" w:hAnsi="Arial" w:cs="Arial"/>
          <w:b w:val="0"/>
          <w:sz w:val="24"/>
          <w:szCs w:val="24"/>
        </w:rPr>
        <w:t xml:space="preserve">, and the </w:t>
      </w:r>
      <w:r w:rsidR="003D08E7">
        <w:rPr>
          <w:rFonts w:ascii="Arial" w:hAnsi="Arial" w:cs="Arial"/>
          <w:b w:val="0"/>
          <w:sz w:val="24"/>
          <w:szCs w:val="24"/>
        </w:rPr>
        <w:t>P</w:t>
      </w:r>
      <w:r w:rsidR="001E59A6">
        <w:rPr>
          <w:rFonts w:ascii="Arial" w:hAnsi="Arial" w:cs="Arial"/>
          <w:b w:val="0"/>
          <w:sz w:val="24"/>
          <w:szCs w:val="24"/>
        </w:rPr>
        <w:t xml:space="preserve">ension Fund Committee. </w:t>
      </w:r>
      <w:r w:rsidRPr="00BA7A38">
        <w:rPr>
          <w:rFonts w:ascii="Arial" w:hAnsi="Arial" w:cs="Arial"/>
          <w:b w:val="0"/>
          <w:sz w:val="24"/>
          <w:szCs w:val="24"/>
        </w:rPr>
        <w:t xml:space="preserve">As you are aware, this report forms part of a continuing dialogue </w:t>
      </w:r>
      <w:r w:rsidR="00D77E7B" w:rsidRPr="00E10D69">
        <w:rPr>
          <w:rFonts w:ascii="Arial" w:hAnsi="Arial" w:cs="Arial"/>
          <w:b w:val="0"/>
          <w:sz w:val="24"/>
          <w:szCs w:val="24"/>
        </w:rPr>
        <w:t xml:space="preserve">between the Internal Audit Service, the </w:t>
      </w:r>
      <w:r w:rsidR="00A22257">
        <w:rPr>
          <w:rFonts w:ascii="Arial" w:hAnsi="Arial" w:cs="Arial"/>
          <w:b w:val="0"/>
          <w:sz w:val="24"/>
          <w:szCs w:val="24"/>
        </w:rPr>
        <w:t>Treasurer to the Fund</w:t>
      </w:r>
      <w:r w:rsidR="00D77E7B" w:rsidRPr="00E10D69">
        <w:rPr>
          <w:rFonts w:ascii="Arial" w:hAnsi="Arial" w:cs="Arial"/>
          <w:b w:val="0"/>
          <w:sz w:val="24"/>
          <w:szCs w:val="24"/>
        </w:rPr>
        <w:t xml:space="preserve">, </w:t>
      </w:r>
      <w:r w:rsidR="00A22257">
        <w:rPr>
          <w:rFonts w:ascii="Arial" w:hAnsi="Arial" w:cs="Arial"/>
          <w:b w:val="0"/>
          <w:sz w:val="24"/>
          <w:szCs w:val="24"/>
        </w:rPr>
        <w:t>and the Pension Fund Committee. I</w:t>
      </w:r>
      <w:r w:rsidR="00D77E7B" w:rsidRPr="00E10D69">
        <w:rPr>
          <w:rFonts w:ascii="Arial" w:hAnsi="Arial" w:cs="Arial"/>
          <w:b w:val="0"/>
          <w:sz w:val="24"/>
          <w:szCs w:val="24"/>
        </w:rPr>
        <w:t>t is not therefore inte</w:t>
      </w:r>
      <w:r w:rsidR="00D77E7B" w:rsidRPr="00E10D69">
        <w:rPr>
          <w:rFonts w:ascii="Arial" w:hAnsi="Arial"/>
          <w:b w:val="0"/>
          <w:sz w:val="24"/>
        </w:rPr>
        <w:t>nded to include every matter that came to our attention during each internal audit review.</w:t>
      </w:r>
    </w:p>
    <w:p w:rsidR="00D77E7B" w:rsidRPr="00E10D69" w:rsidRDefault="00D77E7B" w:rsidP="00E10D69"/>
    <w:p w:rsidR="00D77E7B" w:rsidRDefault="00D77E7B" w:rsidP="00E10D69">
      <w:pPr>
        <w:pStyle w:val="Heading1"/>
        <w:numPr>
          <w:ilvl w:val="1"/>
          <w:numId w:val="1"/>
        </w:numPr>
        <w:spacing w:before="120" w:after="0" w:line="240" w:lineRule="auto"/>
        <w:rPr>
          <w:rFonts w:ascii="Arial" w:hAnsi="Arial"/>
          <w:b w:val="0"/>
          <w:sz w:val="24"/>
        </w:rPr>
      </w:pPr>
      <w:r w:rsidRPr="00E10D69">
        <w:rPr>
          <w:rFonts w:ascii="Arial" w:hAnsi="Arial"/>
          <w:b w:val="0"/>
          <w:sz w:val="24"/>
        </w:rPr>
        <w:t>We acknowledge that this report may be made available to other parties, such as the external auditors. We accept no responsibility to any third party who may receive this report for any reliance that they may place on it and, in particular, we expect the external auditors to determine for themselves the extent to which they choose to utilise our work.</w:t>
      </w:r>
    </w:p>
    <w:p w:rsidR="003D08E7" w:rsidRDefault="003D08E7" w:rsidP="003D08E7"/>
    <w:p w:rsidR="00D77E7B" w:rsidRDefault="00D77E7B">
      <w:pPr>
        <w:pStyle w:val="BodyText"/>
        <w:numPr>
          <w:ilvl w:val="0"/>
          <w:numId w:val="1"/>
        </w:numPr>
        <w:rPr>
          <w:rFonts w:ascii="Arial" w:hAnsi="Arial"/>
          <w:b/>
          <w:sz w:val="24"/>
        </w:rPr>
      </w:pPr>
      <w:r>
        <w:rPr>
          <w:rFonts w:ascii="Arial" w:hAnsi="Arial"/>
          <w:b/>
          <w:sz w:val="24"/>
        </w:rPr>
        <w:t>Summary of findings</w:t>
      </w:r>
    </w:p>
    <w:p w:rsidR="00D77E7B" w:rsidRDefault="00D77E7B" w:rsidP="008A4F16">
      <w:pPr>
        <w:pStyle w:val="BodyText"/>
        <w:ind w:left="709"/>
        <w:rPr>
          <w:rFonts w:ascii="Arial" w:hAnsi="Arial"/>
          <w:b/>
          <w:i/>
          <w:sz w:val="24"/>
        </w:rPr>
      </w:pPr>
      <w:r>
        <w:rPr>
          <w:rFonts w:ascii="Arial" w:hAnsi="Arial"/>
          <w:b/>
          <w:i/>
          <w:sz w:val="24"/>
        </w:rPr>
        <w:t>Overall summary and assurance provided</w:t>
      </w:r>
    </w:p>
    <w:p w:rsidR="00D77E7B" w:rsidRDefault="00D77E7B" w:rsidP="008A4F16">
      <w:pPr>
        <w:pStyle w:val="BodyText"/>
        <w:numPr>
          <w:ilvl w:val="1"/>
          <w:numId w:val="1"/>
        </w:numPr>
        <w:tabs>
          <w:tab w:val="clear" w:pos="851"/>
        </w:tabs>
        <w:ind w:left="709" w:hanging="709"/>
        <w:rPr>
          <w:rFonts w:ascii="Arial" w:hAnsi="Arial"/>
          <w:sz w:val="24"/>
        </w:rPr>
      </w:pPr>
      <w:r>
        <w:rPr>
          <w:rFonts w:ascii="Arial" w:hAnsi="Arial"/>
          <w:sz w:val="24"/>
        </w:rPr>
        <w:t>We have set out in the table on page</w:t>
      </w:r>
      <w:r w:rsidR="003060AE">
        <w:rPr>
          <w:rFonts w:ascii="Arial" w:hAnsi="Arial"/>
          <w:sz w:val="24"/>
        </w:rPr>
        <w:t xml:space="preserve"> 7</w:t>
      </w:r>
      <w:r>
        <w:rPr>
          <w:rFonts w:ascii="Arial" w:hAnsi="Arial"/>
          <w:sz w:val="24"/>
        </w:rPr>
        <w:t xml:space="preserve"> below a brief summary of each review undertaken during this year. This sets out the planned and actual days we have spent on each review, and a summary of the assurance we have been able to provide in relation to each system or operational area of </w:t>
      </w:r>
      <w:r>
        <w:rPr>
          <w:rFonts w:ascii="Arial" w:hAnsi="Arial"/>
          <w:sz w:val="24"/>
        </w:rPr>
        <w:lastRenderedPageBreak/>
        <w:t>your business. The key issues/comments encapsulate the significant issues and areas where key recommendations were made. They reflect the findings at the time the work was carried out.</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sz w:val="24"/>
        </w:rPr>
        <w:t>We have distilled the assurance into a</w:t>
      </w:r>
      <w:r w:rsidR="001E59A6">
        <w:rPr>
          <w:rFonts w:ascii="Arial" w:hAnsi="Arial"/>
          <w:sz w:val="24"/>
        </w:rPr>
        <w:t xml:space="preserve">n assessment of the adequacy of </w:t>
      </w:r>
      <w:r>
        <w:rPr>
          <w:rFonts w:ascii="Arial" w:hAnsi="Arial"/>
          <w:sz w:val="24"/>
        </w:rPr>
        <w:t>each system, and its effectiveness in operation.</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b/>
          <w:i/>
          <w:sz w:val="24"/>
        </w:rPr>
        <w:t>System adequacy</w:t>
      </w:r>
      <w:r>
        <w:rPr>
          <w:rFonts w:ascii="Arial" w:hAnsi="Arial"/>
          <w:sz w:val="24"/>
        </w:rPr>
        <w:t>:  We have defined a system as adequate if its design enables it to achieve its core control objectives which, if operating as intended, serve to manage its inherent risks.</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b/>
          <w:i/>
          <w:sz w:val="24"/>
        </w:rPr>
        <w:t>System effectiveness</w:t>
      </w:r>
      <w:r>
        <w:rPr>
          <w:rFonts w:ascii="Arial" w:hAnsi="Arial"/>
          <w:sz w:val="24"/>
        </w:rPr>
        <w:t>:  We have defined a system as operating effectively if, after testing or other supporting evidence has been found, it is operating as intended.</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sz w:val="24"/>
        </w:rPr>
        <w:t>It is therefore possible that a system would, if operated as intended, provide adequate control over its inherent risks, but that lapses in controls in practice leave the system exposed to risk.</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sz w:val="24"/>
        </w:rPr>
        <w:t xml:space="preserve">It is also possible that a system may be inadequate in its design, but is nonetheless operating as intended, albeit with inbuilt weaknesses that mean that the control objectives cannot be met.  </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sz w:val="24"/>
        </w:rPr>
        <w:t>Ideally, a system will be adequately designed to achieve its control objectives, and operated effectively in practice.</w:t>
      </w:r>
    </w:p>
    <w:p w:rsidR="00D77E7B" w:rsidRDefault="00D77E7B" w:rsidP="008A4F16">
      <w:pPr>
        <w:pStyle w:val="BodyText"/>
        <w:numPr>
          <w:ilvl w:val="1"/>
          <w:numId w:val="1"/>
        </w:numPr>
        <w:tabs>
          <w:tab w:val="clear" w:pos="851"/>
          <w:tab w:val="num" w:pos="709"/>
        </w:tabs>
        <w:ind w:left="709" w:hanging="709"/>
        <w:rPr>
          <w:rFonts w:ascii="Arial" w:hAnsi="Arial"/>
          <w:sz w:val="24"/>
        </w:rPr>
      </w:pPr>
      <w:r>
        <w:rPr>
          <w:rFonts w:ascii="Arial" w:hAnsi="Arial"/>
          <w:sz w:val="24"/>
        </w:rPr>
        <w:t>The table below indicates briefly with simple ticks (</w:t>
      </w:r>
      <w:r>
        <w:rPr>
          <w:rFonts w:ascii="Arial" w:hAnsi="Arial"/>
          <w:sz w:val="24"/>
          <w:szCs w:val="24"/>
        </w:rPr>
        <w:sym w:font="Wingdings 2" w:char="F050"/>
      </w:r>
      <w:r>
        <w:rPr>
          <w:rFonts w:ascii="Arial" w:hAnsi="Arial"/>
          <w:sz w:val="24"/>
        </w:rPr>
        <w:t>) and crosses (x) our overall assessment of each system we have reviewed during the year and the assurance you may take from its operation in supporting effective internal control.</w:t>
      </w:r>
    </w:p>
    <w:p w:rsidR="00D77E7B" w:rsidRPr="00A1267B" w:rsidRDefault="00D77E7B" w:rsidP="009424D4">
      <w:pPr>
        <w:pStyle w:val="BodyText"/>
        <w:rPr>
          <w:rFonts w:ascii="Arial" w:hAnsi="Arial"/>
          <w:sz w:val="24"/>
        </w:rPr>
        <w:sectPr w:rsidR="00D77E7B" w:rsidRPr="00A1267B" w:rsidSect="00E14CA2">
          <w:footerReference w:type="default" r:id="rId17"/>
          <w:pgSz w:w="12240" w:h="15840"/>
          <w:pgMar w:top="1440" w:right="1797" w:bottom="1440" w:left="1797" w:header="709" w:footer="709" w:gutter="0"/>
          <w:pgNumType w:start="1"/>
          <w:cols w:space="708"/>
          <w:docGrid w:linePitch="360"/>
        </w:sectPr>
      </w:pPr>
    </w:p>
    <w:p w:rsidR="00D77E7B" w:rsidRDefault="00D77E7B" w:rsidP="00282D28">
      <w:pPr>
        <w:pStyle w:val="BodyText"/>
        <w:ind w:left="-360" w:firstLine="360"/>
        <w:rPr>
          <w:rFonts w:ascii="Arial" w:hAnsi="Arial" w:cs="Arial"/>
          <w:b/>
        </w:rPr>
      </w:pPr>
      <w:r>
        <w:rPr>
          <w:rFonts w:ascii="Arial" w:hAnsi="Arial" w:cs="Arial"/>
          <w:b/>
        </w:rPr>
        <w:lastRenderedPageBreak/>
        <w:t>Summary of our findings and assurance</w:t>
      </w:r>
    </w:p>
    <w:tbl>
      <w:tblPr>
        <w:tblW w:w="13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959"/>
        <w:gridCol w:w="992"/>
        <w:gridCol w:w="1134"/>
        <w:gridCol w:w="1134"/>
        <w:gridCol w:w="1418"/>
        <w:gridCol w:w="5513"/>
      </w:tblGrid>
      <w:tr w:rsidR="00D77E7B" w:rsidTr="00DF2004">
        <w:trPr>
          <w:cantSplit/>
          <w:tblHeader/>
        </w:trPr>
        <w:tc>
          <w:tcPr>
            <w:tcW w:w="2160" w:type="dxa"/>
            <w:tcBorders>
              <w:bottom w:val="nil"/>
            </w:tcBorders>
            <w:shd w:val="clear" w:color="auto" w:fill="FFFFFF"/>
          </w:tcPr>
          <w:p w:rsidR="00D77E7B" w:rsidRDefault="00D77E7B" w:rsidP="005D758D">
            <w:pPr>
              <w:pStyle w:val="TableColumnHeader"/>
              <w:spacing w:before="60" w:after="60" w:line="240" w:lineRule="auto"/>
              <w:rPr>
                <w:rFonts w:ascii="Arial" w:hAnsi="Arial" w:cs="Arial"/>
              </w:rPr>
            </w:pPr>
            <w:r>
              <w:rPr>
                <w:rFonts w:ascii="Arial" w:hAnsi="Arial" w:cs="Arial"/>
              </w:rPr>
              <w:t>Review area</w:t>
            </w:r>
          </w:p>
        </w:tc>
        <w:tc>
          <w:tcPr>
            <w:tcW w:w="3085" w:type="dxa"/>
            <w:gridSpan w:val="3"/>
            <w:shd w:val="clear" w:color="auto" w:fill="FFFFFF"/>
          </w:tcPr>
          <w:p w:rsidR="00D77E7B" w:rsidRDefault="00D77E7B" w:rsidP="005D758D">
            <w:pPr>
              <w:pStyle w:val="TableColumnHeader"/>
              <w:spacing w:before="60" w:after="60" w:line="240" w:lineRule="auto"/>
              <w:jc w:val="center"/>
              <w:rPr>
                <w:rFonts w:ascii="Arial" w:hAnsi="Arial" w:cs="Arial"/>
              </w:rPr>
            </w:pPr>
            <w:r>
              <w:rPr>
                <w:rFonts w:ascii="Arial" w:hAnsi="Arial" w:cs="Arial"/>
              </w:rPr>
              <w:t>Audit days</w:t>
            </w:r>
          </w:p>
        </w:tc>
        <w:tc>
          <w:tcPr>
            <w:tcW w:w="2552" w:type="dxa"/>
            <w:gridSpan w:val="2"/>
            <w:shd w:val="clear" w:color="auto" w:fill="FFFFFF"/>
          </w:tcPr>
          <w:p w:rsidR="00D77E7B" w:rsidRDefault="00D77E7B" w:rsidP="005D758D">
            <w:pPr>
              <w:pStyle w:val="TableColumnHeader"/>
              <w:spacing w:before="60" w:after="60" w:line="240" w:lineRule="auto"/>
              <w:jc w:val="center"/>
              <w:rPr>
                <w:rFonts w:ascii="Arial" w:hAnsi="Arial" w:cs="Arial"/>
              </w:rPr>
            </w:pPr>
            <w:r>
              <w:rPr>
                <w:rFonts w:ascii="Arial" w:hAnsi="Arial" w:cs="Arial"/>
              </w:rPr>
              <w:t>Assurance</w:t>
            </w:r>
          </w:p>
        </w:tc>
        <w:tc>
          <w:tcPr>
            <w:tcW w:w="5513" w:type="dxa"/>
            <w:shd w:val="clear" w:color="auto" w:fill="FFFFFF"/>
          </w:tcPr>
          <w:p w:rsidR="00D77E7B" w:rsidRDefault="00D77E7B" w:rsidP="005D758D">
            <w:pPr>
              <w:pStyle w:val="TableColumnHeader"/>
              <w:spacing w:before="60" w:after="60" w:line="240" w:lineRule="auto"/>
              <w:jc w:val="center"/>
              <w:rPr>
                <w:rFonts w:ascii="Arial" w:hAnsi="Arial" w:cs="Arial"/>
              </w:rPr>
            </w:pPr>
            <w:r>
              <w:rPr>
                <w:rFonts w:ascii="Arial" w:hAnsi="Arial" w:cs="Arial"/>
              </w:rPr>
              <w:t>Key issues / Comments</w:t>
            </w:r>
          </w:p>
        </w:tc>
      </w:tr>
      <w:tr w:rsidR="00D77E7B" w:rsidTr="00DF2004">
        <w:trPr>
          <w:cantSplit/>
          <w:tblHeader/>
        </w:trPr>
        <w:tc>
          <w:tcPr>
            <w:tcW w:w="2160" w:type="dxa"/>
            <w:tcBorders>
              <w:top w:val="nil"/>
            </w:tcBorders>
            <w:shd w:val="clear" w:color="auto" w:fill="FFFFFF"/>
          </w:tcPr>
          <w:p w:rsidR="00D77E7B" w:rsidRDefault="00D77E7B" w:rsidP="005D758D">
            <w:pPr>
              <w:pStyle w:val="TableText"/>
              <w:spacing w:before="60" w:after="60" w:line="240" w:lineRule="auto"/>
              <w:rPr>
                <w:rFonts w:ascii="Arial" w:hAnsi="Arial" w:cs="Arial"/>
              </w:rPr>
            </w:pPr>
          </w:p>
        </w:tc>
        <w:tc>
          <w:tcPr>
            <w:tcW w:w="959" w:type="dxa"/>
            <w:shd w:val="clear" w:color="auto" w:fill="FFFFFF"/>
          </w:tcPr>
          <w:p w:rsidR="00D77E7B" w:rsidRDefault="00D77E7B" w:rsidP="005D758D">
            <w:pPr>
              <w:pStyle w:val="TableText"/>
              <w:spacing w:before="60" w:after="60" w:line="240" w:lineRule="auto"/>
              <w:jc w:val="center"/>
              <w:rPr>
                <w:rFonts w:ascii="Arial" w:hAnsi="Arial" w:cs="Arial"/>
              </w:rPr>
            </w:pPr>
            <w:r>
              <w:rPr>
                <w:rFonts w:ascii="Arial" w:hAnsi="Arial" w:cs="Arial"/>
              </w:rPr>
              <w:t>Planned</w:t>
            </w:r>
          </w:p>
        </w:tc>
        <w:tc>
          <w:tcPr>
            <w:tcW w:w="992" w:type="dxa"/>
            <w:shd w:val="clear" w:color="auto" w:fill="FFFFFF"/>
          </w:tcPr>
          <w:p w:rsidR="00D77E7B" w:rsidRDefault="00D77E7B" w:rsidP="005D758D">
            <w:pPr>
              <w:pStyle w:val="TableText"/>
              <w:spacing w:before="60" w:after="60" w:line="240" w:lineRule="auto"/>
              <w:jc w:val="center"/>
              <w:rPr>
                <w:rFonts w:ascii="Arial" w:hAnsi="Arial" w:cs="Arial"/>
              </w:rPr>
            </w:pPr>
            <w:r>
              <w:rPr>
                <w:rFonts w:ascii="Arial" w:hAnsi="Arial" w:cs="Arial"/>
              </w:rPr>
              <w:t>Actual</w:t>
            </w:r>
          </w:p>
        </w:tc>
        <w:tc>
          <w:tcPr>
            <w:tcW w:w="1134" w:type="dxa"/>
            <w:shd w:val="clear" w:color="auto" w:fill="FFFFFF"/>
          </w:tcPr>
          <w:p w:rsidR="00D77E7B" w:rsidRDefault="00D77E7B" w:rsidP="005D758D">
            <w:pPr>
              <w:pStyle w:val="TableText"/>
              <w:spacing w:before="60" w:after="60" w:line="240" w:lineRule="auto"/>
              <w:ind w:left="44"/>
              <w:jc w:val="center"/>
              <w:rPr>
                <w:rFonts w:ascii="Arial" w:hAnsi="Arial" w:cs="Arial"/>
              </w:rPr>
            </w:pPr>
            <w:r>
              <w:rPr>
                <w:rFonts w:ascii="Arial" w:hAnsi="Arial" w:cs="Arial"/>
              </w:rPr>
              <w:t>Variation</w:t>
            </w:r>
          </w:p>
        </w:tc>
        <w:tc>
          <w:tcPr>
            <w:tcW w:w="1134" w:type="dxa"/>
            <w:shd w:val="clear" w:color="auto" w:fill="FFFFFF"/>
          </w:tcPr>
          <w:p w:rsidR="00D77E7B" w:rsidRDefault="00D77E7B">
            <w:pPr>
              <w:pStyle w:val="TableText"/>
              <w:spacing w:before="60" w:after="60" w:line="240" w:lineRule="auto"/>
              <w:jc w:val="center"/>
              <w:rPr>
                <w:rFonts w:ascii="Arial" w:hAnsi="Arial" w:cs="Arial"/>
              </w:rPr>
            </w:pPr>
            <w:r>
              <w:rPr>
                <w:rFonts w:ascii="Arial" w:hAnsi="Arial" w:cs="Arial"/>
              </w:rPr>
              <w:t>Adequacy</w:t>
            </w:r>
          </w:p>
        </w:tc>
        <w:tc>
          <w:tcPr>
            <w:tcW w:w="1418" w:type="dxa"/>
            <w:shd w:val="clear" w:color="auto" w:fill="FFFFFF"/>
          </w:tcPr>
          <w:p w:rsidR="00D77E7B" w:rsidRDefault="00D77E7B">
            <w:pPr>
              <w:pStyle w:val="TableText"/>
              <w:spacing w:before="60" w:after="60" w:line="240" w:lineRule="auto"/>
              <w:jc w:val="center"/>
              <w:rPr>
                <w:rFonts w:ascii="Arial" w:hAnsi="Arial" w:cs="Arial"/>
              </w:rPr>
            </w:pPr>
            <w:r>
              <w:rPr>
                <w:rFonts w:ascii="Arial" w:hAnsi="Arial" w:cs="Arial"/>
              </w:rPr>
              <w:t>Effectiveness</w:t>
            </w:r>
          </w:p>
        </w:tc>
        <w:tc>
          <w:tcPr>
            <w:tcW w:w="5513" w:type="dxa"/>
            <w:tcBorders>
              <w:top w:val="nil"/>
            </w:tcBorders>
            <w:shd w:val="clear" w:color="auto" w:fill="FFFFFF"/>
          </w:tcPr>
          <w:p w:rsidR="00D77E7B" w:rsidRDefault="00D77E7B">
            <w:pPr>
              <w:pStyle w:val="TableText"/>
              <w:spacing w:before="60" w:after="60" w:line="240" w:lineRule="auto"/>
              <w:rPr>
                <w:rFonts w:ascii="Arial" w:hAnsi="Arial" w:cs="Arial"/>
              </w:rPr>
            </w:pPr>
          </w:p>
        </w:tc>
      </w:tr>
      <w:tr w:rsidR="00D77E7B" w:rsidTr="00151F2D">
        <w:trPr>
          <w:cantSplit/>
        </w:trPr>
        <w:tc>
          <w:tcPr>
            <w:tcW w:w="13310" w:type="dxa"/>
            <w:gridSpan w:val="7"/>
            <w:tcBorders>
              <w:top w:val="nil"/>
              <w:bottom w:val="nil"/>
            </w:tcBorders>
          </w:tcPr>
          <w:p w:rsidR="00D77E7B" w:rsidRDefault="00D77E7B" w:rsidP="005D758D">
            <w:pPr>
              <w:pStyle w:val="TableText"/>
              <w:spacing w:before="60" w:after="60" w:line="240" w:lineRule="auto"/>
              <w:rPr>
                <w:rFonts w:ascii="Arial" w:hAnsi="Arial" w:cs="Arial"/>
                <w:b/>
                <w:i/>
              </w:rPr>
            </w:pPr>
            <w:r>
              <w:rPr>
                <w:rFonts w:ascii="Arial" w:hAnsi="Arial" w:cs="Arial"/>
                <w:b/>
                <w:i/>
              </w:rPr>
              <w:t xml:space="preserve">Audit Areas </w:t>
            </w:r>
          </w:p>
        </w:tc>
      </w:tr>
      <w:tr w:rsidR="00D77E7B" w:rsidTr="00DF2004">
        <w:trPr>
          <w:cantSplit/>
          <w:trHeight w:val="134"/>
        </w:trPr>
        <w:tc>
          <w:tcPr>
            <w:tcW w:w="2160" w:type="dxa"/>
            <w:vMerge w:val="restart"/>
          </w:tcPr>
          <w:p w:rsidR="00D77E7B" w:rsidRPr="009F386E" w:rsidRDefault="00D77E7B" w:rsidP="005D758D">
            <w:pPr>
              <w:pStyle w:val="TableText"/>
              <w:spacing w:before="60" w:after="60" w:line="240" w:lineRule="auto"/>
              <w:rPr>
                <w:rFonts w:ascii="Arial" w:hAnsi="Arial" w:cs="Arial"/>
                <w:b/>
              </w:rPr>
            </w:pPr>
            <w:r>
              <w:rPr>
                <w:rFonts w:ascii="Arial" w:hAnsi="Arial" w:cs="Arial"/>
                <w:b/>
              </w:rPr>
              <w:t>Pensions administration – manual controls</w:t>
            </w:r>
            <w:r w:rsidR="00E35240">
              <w:rPr>
                <w:rFonts w:ascii="Arial" w:hAnsi="Arial" w:cs="Arial"/>
                <w:b/>
              </w:rPr>
              <w:t xml:space="preserve"> &amp; ICT controls</w:t>
            </w:r>
          </w:p>
        </w:tc>
        <w:tc>
          <w:tcPr>
            <w:tcW w:w="959" w:type="dxa"/>
            <w:vMerge w:val="restart"/>
          </w:tcPr>
          <w:p w:rsidR="00D77E7B" w:rsidRPr="00A66B7D" w:rsidRDefault="00E35240" w:rsidP="00304C44">
            <w:pPr>
              <w:pStyle w:val="TableText"/>
              <w:spacing w:before="60" w:after="60" w:line="240" w:lineRule="auto"/>
              <w:jc w:val="center"/>
              <w:rPr>
                <w:rFonts w:ascii="Arial" w:hAnsi="Arial" w:cs="Arial"/>
              </w:rPr>
            </w:pPr>
            <w:r>
              <w:rPr>
                <w:rFonts w:ascii="Arial" w:hAnsi="Arial" w:cs="Arial"/>
              </w:rPr>
              <w:t>25</w:t>
            </w:r>
          </w:p>
        </w:tc>
        <w:tc>
          <w:tcPr>
            <w:tcW w:w="992" w:type="dxa"/>
            <w:vMerge w:val="restart"/>
          </w:tcPr>
          <w:p w:rsidR="00D77E7B" w:rsidRPr="00B144F3" w:rsidRDefault="00E35240" w:rsidP="00304C44">
            <w:pPr>
              <w:pStyle w:val="TableText"/>
              <w:spacing w:before="60" w:after="60" w:line="240" w:lineRule="auto"/>
              <w:jc w:val="center"/>
              <w:rPr>
                <w:rFonts w:ascii="Arial" w:hAnsi="Arial" w:cs="Arial"/>
              </w:rPr>
            </w:pPr>
            <w:r>
              <w:rPr>
                <w:rFonts w:ascii="Arial" w:hAnsi="Arial" w:cs="Arial"/>
              </w:rPr>
              <w:t>32</w:t>
            </w:r>
          </w:p>
        </w:tc>
        <w:tc>
          <w:tcPr>
            <w:tcW w:w="1134" w:type="dxa"/>
            <w:vMerge w:val="restart"/>
          </w:tcPr>
          <w:p w:rsidR="00D77E7B" w:rsidRPr="00B144F3" w:rsidRDefault="0083173D" w:rsidP="00304C44">
            <w:pPr>
              <w:pStyle w:val="TableText"/>
              <w:spacing w:before="60" w:after="60" w:line="240" w:lineRule="auto"/>
              <w:jc w:val="center"/>
              <w:rPr>
                <w:rFonts w:ascii="Arial" w:hAnsi="Arial" w:cs="Arial"/>
              </w:rPr>
            </w:pPr>
            <w:r>
              <w:rPr>
                <w:rFonts w:ascii="Arial" w:hAnsi="Arial" w:cs="Arial"/>
              </w:rPr>
              <w:t>7</w:t>
            </w:r>
          </w:p>
        </w:tc>
        <w:tc>
          <w:tcPr>
            <w:tcW w:w="1134" w:type="dxa"/>
          </w:tcPr>
          <w:p w:rsidR="00D77E7B" w:rsidRDefault="00D77E7B">
            <w:pPr>
              <w:pStyle w:val="TableText"/>
              <w:spacing w:before="60" w:after="60" w:line="240" w:lineRule="auto"/>
              <w:jc w:val="center"/>
              <w:rPr>
                <w:rFonts w:ascii="Arial" w:hAnsi="Arial" w:cs="Arial"/>
              </w:rPr>
            </w:pPr>
            <w:r>
              <w:rPr>
                <w:rFonts w:ascii="Arial" w:hAnsi="Arial" w:cs="Arial"/>
              </w:rPr>
              <w:sym w:font="Wingdings" w:char="F0FC"/>
            </w:r>
          </w:p>
        </w:tc>
        <w:tc>
          <w:tcPr>
            <w:tcW w:w="1418" w:type="dxa"/>
          </w:tcPr>
          <w:p w:rsidR="00D77E7B" w:rsidRDefault="00D77E7B">
            <w:pPr>
              <w:pStyle w:val="TableText"/>
              <w:spacing w:before="60" w:after="60" w:line="240" w:lineRule="auto"/>
              <w:jc w:val="center"/>
              <w:rPr>
                <w:rFonts w:ascii="Arial" w:hAnsi="Arial" w:cs="Arial"/>
              </w:rPr>
            </w:pPr>
            <w:r>
              <w:rPr>
                <w:rFonts w:ascii="Arial" w:hAnsi="Arial" w:cs="Arial"/>
              </w:rPr>
              <w:sym w:font="Wingdings" w:char="F0FC"/>
            </w:r>
          </w:p>
        </w:tc>
        <w:tc>
          <w:tcPr>
            <w:tcW w:w="5513" w:type="dxa"/>
            <w:vMerge w:val="restart"/>
          </w:tcPr>
          <w:p w:rsidR="00D77E7B" w:rsidRDefault="0014138F" w:rsidP="00FF75EE">
            <w:pPr>
              <w:pStyle w:val="TableText"/>
              <w:spacing w:before="60" w:after="60" w:line="240" w:lineRule="auto"/>
              <w:rPr>
                <w:rFonts w:ascii="Arial" w:hAnsi="Arial" w:cs="Arial"/>
              </w:rPr>
            </w:pPr>
            <w:r>
              <w:rPr>
                <w:rFonts w:ascii="Arial" w:hAnsi="Arial" w:cs="Arial"/>
              </w:rPr>
              <w:t>Action has been agreed to address the issues raised to improve the control arrangements.</w:t>
            </w:r>
          </w:p>
        </w:tc>
      </w:tr>
      <w:tr w:rsidR="00D77E7B" w:rsidTr="005F1D86">
        <w:trPr>
          <w:cantSplit/>
          <w:trHeight w:val="665"/>
        </w:trPr>
        <w:tc>
          <w:tcPr>
            <w:tcW w:w="2160" w:type="dxa"/>
            <w:vMerge/>
          </w:tcPr>
          <w:p w:rsidR="00D77E7B" w:rsidRDefault="00D77E7B">
            <w:pPr>
              <w:pStyle w:val="TableText"/>
              <w:spacing w:before="60" w:after="60" w:line="240" w:lineRule="auto"/>
              <w:rPr>
                <w:rFonts w:ascii="Arial" w:hAnsi="Arial" w:cs="Arial"/>
                <w:b/>
                <w:lang w:eastAsia="en-GB"/>
              </w:rPr>
            </w:pPr>
          </w:p>
        </w:tc>
        <w:tc>
          <w:tcPr>
            <w:tcW w:w="959" w:type="dxa"/>
            <w:vMerge/>
            <w:tcBorders>
              <w:bottom w:val="nil"/>
            </w:tcBorders>
          </w:tcPr>
          <w:p w:rsidR="00D77E7B" w:rsidRDefault="00D77E7B" w:rsidP="00304C44">
            <w:pPr>
              <w:pStyle w:val="TableText"/>
              <w:spacing w:before="60" w:after="60" w:line="240" w:lineRule="auto"/>
              <w:jc w:val="center"/>
              <w:rPr>
                <w:rFonts w:ascii="Arial" w:hAnsi="Arial" w:cs="Arial"/>
              </w:rPr>
            </w:pPr>
          </w:p>
        </w:tc>
        <w:tc>
          <w:tcPr>
            <w:tcW w:w="992" w:type="dxa"/>
            <w:vMerge/>
            <w:tcBorders>
              <w:bottom w:val="nil"/>
            </w:tcBorders>
          </w:tcPr>
          <w:p w:rsidR="00D77E7B" w:rsidRDefault="00D77E7B" w:rsidP="00304C44">
            <w:pPr>
              <w:pStyle w:val="TableText"/>
              <w:spacing w:before="60" w:after="60" w:line="240" w:lineRule="auto"/>
              <w:jc w:val="center"/>
              <w:rPr>
                <w:rFonts w:ascii="Arial" w:hAnsi="Arial" w:cs="Arial"/>
              </w:rPr>
            </w:pPr>
          </w:p>
        </w:tc>
        <w:tc>
          <w:tcPr>
            <w:tcW w:w="1134" w:type="dxa"/>
            <w:vMerge/>
            <w:tcBorders>
              <w:bottom w:val="nil"/>
            </w:tcBorders>
          </w:tcPr>
          <w:p w:rsidR="00D77E7B" w:rsidRDefault="00D77E7B" w:rsidP="00304C44">
            <w:pPr>
              <w:pStyle w:val="TableText"/>
              <w:spacing w:before="60" w:after="60" w:line="240" w:lineRule="auto"/>
              <w:jc w:val="center"/>
              <w:rPr>
                <w:rFonts w:ascii="Arial" w:hAnsi="Arial" w:cs="Arial"/>
              </w:rPr>
            </w:pPr>
          </w:p>
        </w:tc>
        <w:tc>
          <w:tcPr>
            <w:tcW w:w="2552" w:type="dxa"/>
            <w:gridSpan w:val="2"/>
          </w:tcPr>
          <w:p w:rsidR="00D77E7B" w:rsidRDefault="00D77E7B">
            <w:pPr>
              <w:pStyle w:val="TableText"/>
              <w:spacing w:before="60" w:after="60" w:line="240" w:lineRule="auto"/>
              <w:jc w:val="center"/>
              <w:rPr>
                <w:rFonts w:ascii="Arial" w:hAnsi="Arial"/>
              </w:rPr>
            </w:pPr>
            <w:r>
              <w:rPr>
                <w:rFonts w:ascii="Arial" w:hAnsi="Arial"/>
              </w:rPr>
              <w:t>Substantial assurance</w:t>
            </w:r>
          </w:p>
        </w:tc>
        <w:tc>
          <w:tcPr>
            <w:tcW w:w="5513" w:type="dxa"/>
            <w:vMerge/>
          </w:tcPr>
          <w:p w:rsidR="00D77E7B" w:rsidRDefault="00D77E7B">
            <w:pPr>
              <w:pStyle w:val="TableText"/>
              <w:spacing w:before="60" w:after="60" w:line="240" w:lineRule="auto"/>
              <w:rPr>
                <w:rFonts w:ascii="Arial" w:hAnsi="Arial" w:cs="Arial"/>
              </w:rPr>
            </w:pPr>
          </w:p>
        </w:tc>
      </w:tr>
      <w:tr w:rsidR="006A2022" w:rsidTr="00DF2004">
        <w:trPr>
          <w:cantSplit/>
          <w:trHeight w:val="345"/>
        </w:trPr>
        <w:tc>
          <w:tcPr>
            <w:tcW w:w="2160" w:type="dxa"/>
            <w:vMerge w:val="restart"/>
          </w:tcPr>
          <w:p w:rsidR="00E35240" w:rsidRDefault="006A2022" w:rsidP="00AB6D58">
            <w:pPr>
              <w:pStyle w:val="TableText"/>
              <w:spacing w:before="60" w:after="60" w:line="240" w:lineRule="auto"/>
              <w:rPr>
                <w:rFonts w:ascii="Arial" w:hAnsi="Arial" w:cs="Arial"/>
                <w:b/>
                <w:bCs/>
              </w:rPr>
            </w:pPr>
            <w:r>
              <w:rPr>
                <w:rFonts w:ascii="Arial" w:hAnsi="Arial" w:cs="Arial"/>
                <w:b/>
                <w:bCs/>
              </w:rPr>
              <w:t>New investment strategy</w:t>
            </w:r>
            <w:r w:rsidR="00E35240">
              <w:rPr>
                <w:rFonts w:ascii="Arial" w:hAnsi="Arial" w:cs="Arial"/>
                <w:b/>
                <w:bCs/>
              </w:rPr>
              <w:t xml:space="preserve"> – </w:t>
            </w:r>
            <w:r w:rsidR="003702D6">
              <w:rPr>
                <w:rFonts w:ascii="Arial" w:hAnsi="Arial" w:cs="Arial"/>
                <w:b/>
                <w:bCs/>
              </w:rPr>
              <w:t>global e</w:t>
            </w:r>
            <w:r w:rsidR="00AB6D58">
              <w:rPr>
                <w:rFonts w:ascii="Arial" w:hAnsi="Arial" w:cs="Arial"/>
                <w:b/>
                <w:bCs/>
              </w:rPr>
              <w:t xml:space="preserve">quity </w:t>
            </w:r>
            <w:r w:rsidR="00E35240">
              <w:rPr>
                <w:rFonts w:ascii="Arial" w:hAnsi="Arial" w:cs="Arial"/>
                <w:b/>
                <w:bCs/>
              </w:rPr>
              <w:t xml:space="preserve">procurement arrangements </w:t>
            </w:r>
          </w:p>
        </w:tc>
        <w:tc>
          <w:tcPr>
            <w:tcW w:w="959" w:type="dxa"/>
            <w:vMerge w:val="restart"/>
          </w:tcPr>
          <w:p w:rsidR="006A2022" w:rsidRDefault="00E35240" w:rsidP="00304C44">
            <w:pPr>
              <w:pStyle w:val="TableText"/>
              <w:spacing w:before="60" w:after="60" w:line="240" w:lineRule="auto"/>
              <w:jc w:val="center"/>
              <w:rPr>
                <w:rFonts w:ascii="Arial" w:hAnsi="Arial" w:cs="Arial"/>
              </w:rPr>
            </w:pPr>
            <w:r>
              <w:rPr>
                <w:rFonts w:ascii="Arial" w:hAnsi="Arial" w:cs="Arial"/>
              </w:rPr>
              <w:t>25</w:t>
            </w:r>
          </w:p>
        </w:tc>
        <w:tc>
          <w:tcPr>
            <w:tcW w:w="992" w:type="dxa"/>
            <w:vMerge w:val="restart"/>
          </w:tcPr>
          <w:p w:rsidR="006A2022" w:rsidRDefault="00E35240" w:rsidP="00304C44">
            <w:pPr>
              <w:pStyle w:val="TableText"/>
              <w:spacing w:before="60" w:after="60" w:line="240" w:lineRule="auto"/>
              <w:jc w:val="center"/>
              <w:rPr>
                <w:rFonts w:ascii="Arial" w:hAnsi="Arial" w:cs="Arial"/>
              </w:rPr>
            </w:pPr>
            <w:r>
              <w:rPr>
                <w:rFonts w:ascii="Arial" w:hAnsi="Arial" w:cs="Arial"/>
              </w:rPr>
              <w:t>15</w:t>
            </w:r>
          </w:p>
        </w:tc>
        <w:tc>
          <w:tcPr>
            <w:tcW w:w="1134" w:type="dxa"/>
            <w:vMerge w:val="restart"/>
          </w:tcPr>
          <w:p w:rsidR="006A2022" w:rsidRDefault="0083173D" w:rsidP="00304C44">
            <w:pPr>
              <w:pStyle w:val="TableText"/>
              <w:spacing w:before="60" w:after="60" w:line="240" w:lineRule="auto"/>
              <w:jc w:val="center"/>
              <w:rPr>
                <w:rFonts w:ascii="Arial" w:hAnsi="Arial" w:cs="Arial"/>
              </w:rPr>
            </w:pPr>
            <w:r>
              <w:rPr>
                <w:rFonts w:ascii="Arial" w:hAnsi="Arial" w:cs="Arial"/>
              </w:rPr>
              <w:t>(10)</w:t>
            </w:r>
          </w:p>
        </w:tc>
        <w:tc>
          <w:tcPr>
            <w:tcW w:w="1134" w:type="dxa"/>
          </w:tcPr>
          <w:p w:rsidR="006A2022" w:rsidRDefault="006A2022">
            <w:pPr>
              <w:pStyle w:val="TableText"/>
              <w:spacing w:before="60" w:after="60" w:line="240" w:lineRule="auto"/>
              <w:jc w:val="center"/>
              <w:rPr>
                <w:rFonts w:ascii="Arial" w:hAnsi="Arial" w:cs="Arial"/>
              </w:rPr>
            </w:pPr>
            <w:r>
              <w:rPr>
                <w:rFonts w:ascii="Arial" w:hAnsi="Arial" w:cs="Arial"/>
              </w:rPr>
              <w:sym w:font="Wingdings" w:char="F0FC"/>
            </w:r>
          </w:p>
        </w:tc>
        <w:tc>
          <w:tcPr>
            <w:tcW w:w="1418" w:type="dxa"/>
          </w:tcPr>
          <w:p w:rsidR="006A2022" w:rsidRDefault="006A2022">
            <w:pPr>
              <w:pStyle w:val="TableText"/>
              <w:spacing w:before="60" w:after="60" w:line="240" w:lineRule="auto"/>
              <w:jc w:val="center"/>
              <w:rPr>
                <w:rFonts w:ascii="Arial" w:hAnsi="Arial" w:cs="Arial"/>
              </w:rPr>
            </w:pPr>
            <w:r>
              <w:rPr>
                <w:rFonts w:ascii="Arial" w:hAnsi="Arial" w:cs="Arial"/>
              </w:rPr>
              <w:sym w:font="Wingdings" w:char="F0FC"/>
            </w:r>
          </w:p>
        </w:tc>
        <w:tc>
          <w:tcPr>
            <w:tcW w:w="5513" w:type="dxa"/>
            <w:vMerge w:val="restart"/>
          </w:tcPr>
          <w:p w:rsidR="006A2022" w:rsidRDefault="003702D6" w:rsidP="00A40FBA">
            <w:pPr>
              <w:spacing w:before="120" w:after="120"/>
              <w:rPr>
                <w:rFonts w:ascii="Arial" w:hAnsi="Arial" w:cs="Arial"/>
              </w:rPr>
            </w:pPr>
            <w:r>
              <w:rPr>
                <w:rFonts w:ascii="Arial" w:hAnsi="Arial" w:cs="Arial"/>
              </w:rPr>
              <w:t>A</w:t>
            </w:r>
            <w:r w:rsidR="00A40FBA">
              <w:rPr>
                <w:rFonts w:ascii="Arial" w:hAnsi="Arial" w:cs="Arial"/>
              </w:rPr>
              <w:t>ction has been agreed to address the issue raised to improve the control arrangements.</w:t>
            </w:r>
          </w:p>
        </w:tc>
      </w:tr>
      <w:tr w:rsidR="006A2022" w:rsidTr="00DF2004">
        <w:trPr>
          <w:cantSplit/>
          <w:trHeight w:val="345"/>
        </w:trPr>
        <w:tc>
          <w:tcPr>
            <w:tcW w:w="2160" w:type="dxa"/>
            <w:vMerge/>
          </w:tcPr>
          <w:p w:rsidR="006A2022" w:rsidRDefault="006A2022">
            <w:pPr>
              <w:pStyle w:val="TableText"/>
              <w:spacing w:before="60" w:after="60" w:line="240" w:lineRule="auto"/>
              <w:rPr>
                <w:rFonts w:ascii="Arial" w:hAnsi="Arial" w:cs="Arial"/>
                <w:b/>
                <w:bCs/>
              </w:rPr>
            </w:pPr>
          </w:p>
        </w:tc>
        <w:tc>
          <w:tcPr>
            <w:tcW w:w="959" w:type="dxa"/>
            <w:vMerge/>
          </w:tcPr>
          <w:p w:rsidR="006A2022" w:rsidRDefault="006A2022" w:rsidP="00304C44">
            <w:pPr>
              <w:pStyle w:val="TableText"/>
              <w:spacing w:before="60" w:after="60" w:line="240" w:lineRule="auto"/>
              <w:jc w:val="center"/>
              <w:rPr>
                <w:rFonts w:ascii="Arial" w:hAnsi="Arial" w:cs="Arial"/>
              </w:rPr>
            </w:pPr>
          </w:p>
        </w:tc>
        <w:tc>
          <w:tcPr>
            <w:tcW w:w="992" w:type="dxa"/>
            <w:vMerge/>
          </w:tcPr>
          <w:p w:rsidR="006A2022" w:rsidRDefault="006A2022" w:rsidP="00304C44">
            <w:pPr>
              <w:pStyle w:val="TableText"/>
              <w:spacing w:before="60" w:after="60" w:line="240" w:lineRule="auto"/>
              <w:jc w:val="center"/>
              <w:rPr>
                <w:rFonts w:ascii="Arial" w:hAnsi="Arial" w:cs="Arial"/>
              </w:rPr>
            </w:pPr>
          </w:p>
        </w:tc>
        <w:tc>
          <w:tcPr>
            <w:tcW w:w="1134" w:type="dxa"/>
            <w:vMerge/>
          </w:tcPr>
          <w:p w:rsidR="006A2022" w:rsidRDefault="006A2022" w:rsidP="00304C44">
            <w:pPr>
              <w:pStyle w:val="TableText"/>
              <w:spacing w:before="60" w:after="60" w:line="240" w:lineRule="auto"/>
              <w:jc w:val="center"/>
              <w:rPr>
                <w:rFonts w:ascii="Arial" w:hAnsi="Arial" w:cs="Arial"/>
              </w:rPr>
            </w:pPr>
          </w:p>
        </w:tc>
        <w:tc>
          <w:tcPr>
            <w:tcW w:w="2552" w:type="dxa"/>
            <w:gridSpan w:val="2"/>
          </w:tcPr>
          <w:p w:rsidR="006A2022" w:rsidRDefault="00A40FBA" w:rsidP="003702D6">
            <w:pPr>
              <w:pStyle w:val="TableText"/>
              <w:spacing w:before="60" w:after="60" w:line="240" w:lineRule="auto"/>
              <w:jc w:val="center"/>
              <w:rPr>
                <w:rFonts w:ascii="Arial" w:hAnsi="Arial"/>
              </w:rPr>
            </w:pPr>
            <w:r>
              <w:rPr>
                <w:rFonts w:ascii="Arial" w:hAnsi="Arial"/>
              </w:rPr>
              <w:t xml:space="preserve">Substantial </w:t>
            </w:r>
            <w:r w:rsidR="003702D6">
              <w:rPr>
                <w:rFonts w:ascii="Arial" w:hAnsi="Arial"/>
              </w:rPr>
              <w:t>assurance</w:t>
            </w:r>
          </w:p>
        </w:tc>
        <w:tc>
          <w:tcPr>
            <w:tcW w:w="5513" w:type="dxa"/>
            <w:vMerge/>
          </w:tcPr>
          <w:p w:rsidR="006A2022" w:rsidRDefault="006A2022">
            <w:pPr>
              <w:pStyle w:val="TableText"/>
              <w:spacing w:before="60" w:after="60" w:line="240" w:lineRule="auto"/>
              <w:rPr>
                <w:rFonts w:ascii="Arial" w:hAnsi="Arial" w:cs="Arial"/>
              </w:rPr>
            </w:pPr>
          </w:p>
        </w:tc>
      </w:tr>
      <w:tr w:rsidR="006A2022" w:rsidTr="00DF2004">
        <w:trPr>
          <w:cantSplit/>
          <w:trHeight w:val="173"/>
        </w:trPr>
        <w:tc>
          <w:tcPr>
            <w:tcW w:w="2160" w:type="dxa"/>
            <w:vMerge w:val="restart"/>
          </w:tcPr>
          <w:p w:rsidR="006A2022" w:rsidRDefault="006A2022" w:rsidP="001971A6">
            <w:pPr>
              <w:pStyle w:val="TableText"/>
              <w:spacing w:before="60" w:after="60" w:line="240" w:lineRule="auto"/>
              <w:rPr>
                <w:rFonts w:ascii="Arial" w:hAnsi="Arial" w:cs="Arial"/>
                <w:b/>
                <w:bCs/>
              </w:rPr>
            </w:pPr>
            <w:r>
              <w:rPr>
                <w:rFonts w:ascii="Arial" w:hAnsi="Arial" w:cs="Arial"/>
                <w:b/>
                <w:bCs/>
              </w:rPr>
              <w:t xml:space="preserve">New </w:t>
            </w:r>
            <w:r w:rsidR="00E35240">
              <w:rPr>
                <w:rFonts w:ascii="Arial" w:hAnsi="Arial" w:cs="Arial"/>
                <w:b/>
                <w:bCs/>
              </w:rPr>
              <w:t>accounting arrangements</w:t>
            </w:r>
          </w:p>
        </w:tc>
        <w:tc>
          <w:tcPr>
            <w:tcW w:w="959" w:type="dxa"/>
            <w:vMerge w:val="restart"/>
          </w:tcPr>
          <w:p w:rsidR="006A2022" w:rsidRDefault="00E35240" w:rsidP="00304C44">
            <w:pPr>
              <w:pStyle w:val="TableText"/>
              <w:spacing w:before="60" w:after="60" w:line="240" w:lineRule="auto"/>
              <w:jc w:val="center"/>
              <w:rPr>
                <w:rFonts w:ascii="Arial" w:hAnsi="Arial" w:cs="Arial"/>
              </w:rPr>
            </w:pPr>
            <w:r>
              <w:rPr>
                <w:rFonts w:ascii="Arial" w:hAnsi="Arial" w:cs="Arial"/>
              </w:rPr>
              <w:t>10</w:t>
            </w:r>
          </w:p>
        </w:tc>
        <w:tc>
          <w:tcPr>
            <w:tcW w:w="992" w:type="dxa"/>
            <w:vMerge w:val="restart"/>
          </w:tcPr>
          <w:p w:rsidR="006A2022" w:rsidRDefault="00E35240" w:rsidP="00304C44">
            <w:pPr>
              <w:pStyle w:val="TableText"/>
              <w:spacing w:before="60" w:after="60" w:line="240" w:lineRule="auto"/>
              <w:jc w:val="center"/>
              <w:rPr>
                <w:rFonts w:ascii="Arial" w:hAnsi="Arial" w:cs="Arial"/>
              </w:rPr>
            </w:pPr>
            <w:r>
              <w:rPr>
                <w:rFonts w:ascii="Arial" w:hAnsi="Arial" w:cs="Arial"/>
              </w:rPr>
              <w:t>10</w:t>
            </w:r>
          </w:p>
        </w:tc>
        <w:tc>
          <w:tcPr>
            <w:tcW w:w="1134" w:type="dxa"/>
            <w:vMerge w:val="restart"/>
          </w:tcPr>
          <w:p w:rsidR="006A2022" w:rsidRDefault="0083173D" w:rsidP="00304C44">
            <w:pPr>
              <w:pStyle w:val="TableText"/>
              <w:spacing w:before="60" w:after="60" w:line="240" w:lineRule="auto"/>
              <w:jc w:val="center"/>
              <w:rPr>
                <w:rFonts w:ascii="Arial" w:hAnsi="Arial" w:cs="Arial"/>
              </w:rPr>
            </w:pPr>
            <w:r>
              <w:rPr>
                <w:rFonts w:ascii="Arial" w:hAnsi="Arial" w:cs="Arial"/>
              </w:rPr>
              <w:t>0</w:t>
            </w:r>
          </w:p>
        </w:tc>
        <w:tc>
          <w:tcPr>
            <w:tcW w:w="1134" w:type="dxa"/>
          </w:tcPr>
          <w:p w:rsidR="006A2022" w:rsidRDefault="006A2022">
            <w:pPr>
              <w:pStyle w:val="TableText"/>
              <w:spacing w:before="60" w:after="60" w:line="240" w:lineRule="auto"/>
              <w:jc w:val="center"/>
              <w:rPr>
                <w:rFonts w:ascii="Arial" w:hAnsi="Arial"/>
              </w:rPr>
            </w:pPr>
            <w:r>
              <w:rPr>
                <w:rFonts w:ascii="Arial" w:hAnsi="Arial" w:cs="Arial"/>
              </w:rPr>
              <w:sym w:font="Wingdings" w:char="F0FC"/>
            </w:r>
          </w:p>
        </w:tc>
        <w:tc>
          <w:tcPr>
            <w:tcW w:w="1418" w:type="dxa"/>
          </w:tcPr>
          <w:p w:rsidR="006A2022" w:rsidRDefault="006A2022">
            <w:pPr>
              <w:pStyle w:val="TableText"/>
              <w:spacing w:before="60" w:after="60" w:line="240" w:lineRule="auto"/>
              <w:jc w:val="center"/>
              <w:rPr>
                <w:rFonts w:ascii="Arial" w:hAnsi="Arial"/>
              </w:rPr>
            </w:pPr>
            <w:r>
              <w:rPr>
                <w:rFonts w:ascii="Arial" w:hAnsi="Arial" w:cs="Arial"/>
              </w:rPr>
              <w:sym w:font="Wingdings" w:char="F0FC"/>
            </w:r>
          </w:p>
        </w:tc>
        <w:tc>
          <w:tcPr>
            <w:tcW w:w="5513" w:type="dxa"/>
            <w:vMerge w:val="restart"/>
            <w:vAlign w:val="center"/>
          </w:tcPr>
          <w:p w:rsidR="006A2022" w:rsidRDefault="00304C44" w:rsidP="005B0D85">
            <w:pPr>
              <w:pStyle w:val="TableText"/>
              <w:spacing w:before="60" w:after="60" w:line="240" w:lineRule="auto"/>
              <w:rPr>
                <w:rFonts w:ascii="Arial" w:hAnsi="Arial" w:cs="Arial"/>
              </w:rPr>
            </w:pPr>
            <w:r>
              <w:rPr>
                <w:rFonts w:ascii="Arial" w:hAnsi="Arial" w:cs="Arial"/>
              </w:rPr>
              <w:t>A draft report was issued in May 2013</w:t>
            </w:r>
            <w:r w:rsidR="00A40FBA">
              <w:rPr>
                <w:rFonts w:ascii="Arial" w:hAnsi="Arial" w:cs="Arial"/>
              </w:rPr>
              <w:t xml:space="preserve"> for management consideration.</w:t>
            </w:r>
          </w:p>
        </w:tc>
      </w:tr>
      <w:tr w:rsidR="006A2022" w:rsidTr="00DF2004">
        <w:trPr>
          <w:cantSplit/>
          <w:trHeight w:val="172"/>
        </w:trPr>
        <w:tc>
          <w:tcPr>
            <w:tcW w:w="2160" w:type="dxa"/>
            <w:vMerge/>
          </w:tcPr>
          <w:p w:rsidR="006A2022" w:rsidRDefault="006A2022">
            <w:pPr>
              <w:pStyle w:val="TableText"/>
              <w:spacing w:before="60" w:after="60" w:line="240" w:lineRule="auto"/>
              <w:rPr>
                <w:rFonts w:ascii="Arial" w:hAnsi="Arial" w:cs="Arial"/>
                <w:b/>
                <w:bCs/>
              </w:rPr>
            </w:pPr>
          </w:p>
        </w:tc>
        <w:tc>
          <w:tcPr>
            <w:tcW w:w="959" w:type="dxa"/>
            <w:vMerge/>
          </w:tcPr>
          <w:p w:rsidR="006A2022" w:rsidRDefault="006A2022" w:rsidP="00304C44">
            <w:pPr>
              <w:pStyle w:val="TableText"/>
              <w:spacing w:before="60" w:after="60" w:line="240" w:lineRule="auto"/>
              <w:jc w:val="center"/>
              <w:rPr>
                <w:rFonts w:ascii="Arial" w:hAnsi="Arial" w:cs="Arial"/>
              </w:rPr>
            </w:pPr>
          </w:p>
        </w:tc>
        <w:tc>
          <w:tcPr>
            <w:tcW w:w="992" w:type="dxa"/>
            <w:vMerge/>
          </w:tcPr>
          <w:p w:rsidR="006A2022" w:rsidRDefault="006A2022" w:rsidP="00304C44">
            <w:pPr>
              <w:pStyle w:val="TableText"/>
              <w:spacing w:before="60" w:after="60" w:line="240" w:lineRule="auto"/>
              <w:jc w:val="center"/>
              <w:rPr>
                <w:rFonts w:ascii="Arial" w:hAnsi="Arial" w:cs="Arial"/>
              </w:rPr>
            </w:pPr>
          </w:p>
        </w:tc>
        <w:tc>
          <w:tcPr>
            <w:tcW w:w="1134" w:type="dxa"/>
            <w:vMerge/>
          </w:tcPr>
          <w:p w:rsidR="006A2022" w:rsidRDefault="006A2022" w:rsidP="00304C44">
            <w:pPr>
              <w:pStyle w:val="TableText"/>
              <w:spacing w:before="60" w:after="60" w:line="240" w:lineRule="auto"/>
              <w:jc w:val="center"/>
              <w:rPr>
                <w:rFonts w:ascii="Arial" w:hAnsi="Arial" w:cs="Arial"/>
              </w:rPr>
            </w:pPr>
          </w:p>
        </w:tc>
        <w:tc>
          <w:tcPr>
            <w:tcW w:w="2552" w:type="dxa"/>
            <w:gridSpan w:val="2"/>
          </w:tcPr>
          <w:p w:rsidR="006A2022" w:rsidRDefault="008F1D7B" w:rsidP="006A2022">
            <w:pPr>
              <w:pStyle w:val="TableText"/>
              <w:spacing w:before="60" w:after="60" w:line="240" w:lineRule="auto"/>
              <w:jc w:val="center"/>
              <w:rPr>
                <w:rFonts w:ascii="Arial" w:hAnsi="Arial"/>
              </w:rPr>
            </w:pPr>
            <w:r>
              <w:rPr>
                <w:rFonts w:ascii="Arial" w:hAnsi="Arial"/>
              </w:rPr>
              <w:t>Substantial assurance</w:t>
            </w:r>
          </w:p>
        </w:tc>
        <w:tc>
          <w:tcPr>
            <w:tcW w:w="5513" w:type="dxa"/>
            <w:vMerge/>
            <w:vAlign w:val="center"/>
          </w:tcPr>
          <w:p w:rsidR="006A2022" w:rsidRDefault="006A2022">
            <w:pPr>
              <w:pStyle w:val="TableText"/>
              <w:spacing w:before="60" w:after="60" w:line="240" w:lineRule="auto"/>
              <w:rPr>
                <w:rFonts w:ascii="Arial" w:hAnsi="Arial" w:cs="Arial"/>
              </w:rPr>
            </w:pPr>
          </w:p>
        </w:tc>
      </w:tr>
      <w:tr w:rsidR="006A2022" w:rsidTr="00DF2004">
        <w:trPr>
          <w:cantSplit/>
          <w:trHeight w:val="173"/>
        </w:trPr>
        <w:tc>
          <w:tcPr>
            <w:tcW w:w="2160" w:type="dxa"/>
            <w:vMerge w:val="restart"/>
          </w:tcPr>
          <w:p w:rsidR="006A2022" w:rsidRDefault="006A2022" w:rsidP="005D758D">
            <w:pPr>
              <w:pStyle w:val="TableText"/>
              <w:spacing w:before="60" w:after="60" w:line="240" w:lineRule="auto"/>
              <w:rPr>
                <w:rFonts w:ascii="Arial" w:hAnsi="Arial" w:cs="Arial"/>
                <w:b/>
                <w:bCs/>
              </w:rPr>
            </w:pPr>
            <w:r>
              <w:rPr>
                <w:rFonts w:ascii="Arial" w:hAnsi="Arial" w:cs="Arial"/>
                <w:b/>
                <w:bCs/>
              </w:rPr>
              <w:t>Third party assurance reports</w:t>
            </w:r>
          </w:p>
        </w:tc>
        <w:tc>
          <w:tcPr>
            <w:tcW w:w="959" w:type="dxa"/>
            <w:vMerge w:val="restart"/>
          </w:tcPr>
          <w:p w:rsidR="006A2022" w:rsidRDefault="00E35240" w:rsidP="00304C44">
            <w:pPr>
              <w:pStyle w:val="TableText"/>
              <w:spacing w:before="60" w:after="60" w:line="240" w:lineRule="auto"/>
              <w:jc w:val="center"/>
              <w:rPr>
                <w:rFonts w:ascii="Arial" w:hAnsi="Arial" w:cs="Arial"/>
              </w:rPr>
            </w:pPr>
            <w:r>
              <w:rPr>
                <w:rFonts w:ascii="Arial" w:hAnsi="Arial" w:cs="Arial"/>
              </w:rPr>
              <w:t>5</w:t>
            </w:r>
          </w:p>
        </w:tc>
        <w:tc>
          <w:tcPr>
            <w:tcW w:w="992" w:type="dxa"/>
            <w:vMerge w:val="restart"/>
          </w:tcPr>
          <w:p w:rsidR="006A2022" w:rsidRDefault="00E35240" w:rsidP="00304C44">
            <w:pPr>
              <w:pStyle w:val="TableText"/>
              <w:spacing w:before="60" w:after="60" w:line="240" w:lineRule="auto"/>
              <w:jc w:val="center"/>
              <w:rPr>
                <w:rFonts w:ascii="Arial" w:hAnsi="Arial" w:cs="Arial"/>
              </w:rPr>
            </w:pPr>
            <w:r>
              <w:rPr>
                <w:rFonts w:ascii="Arial" w:hAnsi="Arial" w:cs="Arial"/>
              </w:rPr>
              <w:t>3</w:t>
            </w:r>
          </w:p>
        </w:tc>
        <w:tc>
          <w:tcPr>
            <w:tcW w:w="1134" w:type="dxa"/>
            <w:vMerge w:val="restart"/>
          </w:tcPr>
          <w:p w:rsidR="006A2022" w:rsidRDefault="0083173D" w:rsidP="00304C44">
            <w:pPr>
              <w:pStyle w:val="TableText"/>
              <w:spacing w:before="60" w:after="60" w:line="240" w:lineRule="auto"/>
              <w:jc w:val="center"/>
              <w:rPr>
                <w:rFonts w:ascii="Arial" w:hAnsi="Arial" w:cs="Arial"/>
              </w:rPr>
            </w:pPr>
            <w:r>
              <w:rPr>
                <w:rFonts w:ascii="Arial" w:hAnsi="Arial" w:cs="Arial"/>
              </w:rPr>
              <w:t>(2)</w:t>
            </w:r>
          </w:p>
        </w:tc>
        <w:tc>
          <w:tcPr>
            <w:tcW w:w="1134" w:type="dxa"/>
          </w:tcPr>
          <w:p w:rsidR="006A2022" w:rsidRDefault="006A2022">
            <w:pPr>
              <w:pStyle w:val="TableText"/>
              <w:spacing w:before="60" w:after="60" w:line="240" w:lineRule="auto"/>
              <w:jc w:val="center"/>
              <w:rPr>
                <w:rFonts w:ascii="Arial" w:hAnsi="Arial"/>
              </w:rPr>
            </w:pPr>
            <w:r>
              <w:rPr>
                <w:rFonts w:ascii="Arial" w:hAnsi="Arial" w:cs="Arial"/>
              </w:rPr>
              <w:sym w:font="Wingdings" w:char="F0FC"/>
            </w:r>
          </w:p>
        </w:tc>
        <w:tc>
          <w:tcPr>
            <w:tcW w:w="1418" w:type="dxa"/>
          </w:tcPr>
          <w:p w:rsidR="006A2022" w:rsidRDefault="006A2022">
            <w:pPr>
              <w:pStyle w:val="TableText"/>
              <w:spacing w:before="60" w:after="60" w:line="240" w:lineRule="auto"/>
              <w:jc w:val="center"/>
              <w:rPr>
                <w:rFonts w:ascii="Arial" w:hAnsi="Arial"/>
              </w:rPr>
            </w:pPr>
            <w:r>
              <w:rPr>
                <w:rFonts w:ascii="Arial" w:hAnsi="Arial" w:cs="Arial"/>
              </w:rPr>
              <w:sym w:font="Wingdings" w:char="F0FC"/>
            </w:r>
          </w:p>
        </w:tc>
        <w:tc>
          <w:tcPr>
            <w:tcW w:w="5513" w:type="dxa"/>
            <w:vMerge w:val="restart"/>
            <w:vAlign w:val="center"/>
          </w:tcPr>
          <w:p w:rsidR="006A2022" w:rsidRDefault="006A2022" w:rsidP="003434CE">
            <w:pPr>
              <w:spacing w:before="60" w:after="60" w:line="240" w:lineRule="auto"/>
              <w:rPr>
                <w:rFonts w:ascii="Arial" w:hAnsi="Arial" w:cs="Arial"/>
              </w:rPr>
            </w:pPr>
            <w:r w:rsidRPr="00CF13ED">
              <w:rPr>
                <w:rFonts w:ascii="Arial" w:hAnsi="Arial" w:cs="Arial"/>
              </w:rPr>
              <w:t xml:space="preserve">We noted that the expected key controls were in place and assurance was provided on them in the reports. </w:t>
            </w:r>
            <w:r>
              <w:rPr>
                <w:rFonts w:ascii="Arial" w:hAnsi="Arial" w:cs="Arial"/>
              </w:rPr>
              <w:t xml:space="preserve"> </w:t>
            </w:r>
          </w:p>
        </w:tc>
      </w:tr>
      <w:tr w:rsidR="006A2022" w:rsidTr="00DF2004">
        <w:trPr>
          <w:cantSplit/>
          <w:trHeight w:val="712"/>
        </w:trPr>
        <w:tc>
          <w:tcPr>
            <w:tcW w:w="2160" w:type="dxa"/>
            <w:vMerge/>
          </w:tcPr>
          <w:p w:rsidR="006A2022" w:rsidRDefault="006A2022">
            <w:pPr>
              <w:pStyle w:val="TableText"/>
              <w:spacing w:before="60" w:after="60" w:line="240" w:lineRule="auto"/>
              <w:rPr>
                <w:rFonts w:ascii="Arial" w:hAnsi="Arial" w:cs="Arial"/>
                <w:b/>
                <w:bCs/>
              </w:rPr>
            </w:pPr>
          </w:p>
        </w:tc>
        <w:tc>
          <w:tcPr>
            <w:tcW w:w="959" w:type="dxa"/>
            <w:vMerge/>
          </w:tcPr>
          <w:p w:rsidR="006A2022" w:rsidRDefault="006A2022" w:rsidP="00304C44">
            <w:pPr>
              <w:pStyle w:val="TableText"/>
              <w:spacing w:before="60" w:after="60" w:line="240" w:lineRule="auto"/>
              <w:jc w:val="center"/>
              <w:rPr>
                <w:rFonts w:ascii="Arial" w:hAnsi="Arial" w:cs="Arial"/>
              </w:rPr>
            </w:pPr>
          </w:p>
        </w:tc>
        <w:tc>
          <w:tcPr>
            <w:tcW w:w="992" w:type="dxa"/>
            <w:vMerge/>
          </w:tcPr>
          <w:p w:rsidR="006A2022" w:rsidRDefault="006A2022" w:rsidP="00304C44">
            <w:pPr>
              <w:pStyle w:val="TableText"/>
              <w:spacing w:before="60" w:after="60" w:line="240" w:lineRule="auto"/>
              <w:jc w:val="center"/>
              <w:rPr>
                <w:rFonts w:ascii="Arial" w:hAnsi="Arial" w:cs="Arial"/>
              </w:rPr>
            </w:pPr>
          </w:p>
        </w:tc>
        <w:tc>
          <w:tcPr>
            <w:tcW w:w="1134" w:type="dxa"/>
            <w:vMerge/>
          </w:tcPr>
          <w:p w:rsidR="006A2022" w:rsidRDefault="006A2022" w:rsidP="00304C44">
            <w:pPr>
              <w:pStyle w:val="TableText"/>
              <w:spacing w:before="60" w:after="60" w:line="240" w:lineRule="auto"/>
              <w:jc w:val="center"/>
              <w:rPr>
                <w:rFonts w:ascii="Arial" w:hAnsi="Arial" w:cs="Arial"/>
              </w:rPr>
            </w:pPr>
          </w:p>
        </w:tc>
        <w:tc>
          <w:tcPr>
            <w:tcW w:w="2552" w:type="dxa"/>
            <w:gridSpan w:val="2"/>
          </w:tcPr>
          <w:p w:rsidR="006A2022" w:rsidRDefault="00E35240" w:rsidP="00E35240">
            <w:pPr>
              <w:pStyle w:val="TableText"/>
              <w:spacing w:before="60" w:after="60" w:line="240" w:lineRule="auto"/>
              <w:jc w:val="center"/>
              <w:rPr>
                <w:rFonts w:ascii="Arial" w:hAnsi="Arial"/>
              </w:rPr>
            </w:pPr>
            <w:r>
              <w:rPr>
                <w:rFonts w:ascii="Arial" w:hAnsi="Arial"/>
              </w:rPr>
              <w:t>Reliance can be placed on the assurance reports</w:t>
            </w:r>
          </w:p>
        </w:tc>
        <w:tc>
          <w:tcPr>
            <w:tcW w:w="5513" w:type="dxa"/>
            <w:vMerge/>
            <w:vAlign w:val="center"/>
          </w:tcPr>
          <w:p w:rsidR="006A2022" w:rsidRDefault="006A2022">
            <w:pPr>
              <w:pStyle w:val="TableText"/>
              <w:spacing w:before="60" w:after="60" w:line="240" w:lineRule="auto"/>
              <w:rPr>
                <w:rFonts w:ascii="Arial" w:hAnsi="Arial" w:cs="Arial"/>
              </w:rPr>
            </w:pPr>
          </w:p>
        </w:tc>
      </w:tr>
      <w:tr w:rsidR="00304C44" w:rsidTr="00304C44">
        <w:trPr>
          <w:cantSplit/>
          <w:trHeight w:val="378"/>
        </w:trPr>
        <w:tc>
          <w:tcPr>
            <w:tcW w:w="2160" w:type="dxa"/>
            <w:vMerge w:val="restart"/>
          </w:tcPr>
          <w:p w:rsidR="00304C44" w:rsidRPr="00071906" w:rsidRDefault="00304C44" w:rsidP="005D758D">
            <w:pPr>
              <w:pStyle w:val="TableText"/>
              <w:spacing w:before="60" w:after="60" w:line="240" w:lineRule="auto"/>
              <w:rPr>
                <w:rFonts w:ascii="Arial" w:hAnsi="Arial" w:cs="Arial"/>
                <w:b/>
              </w:rPr>
            </w:pPr>
            <w:r>
              <w:rPr>
                <w:rFonts w:ascii="Arial" w:hAnsi="Arial" w:cs="Arial"/>
                <w:b/>
              </w:rPr>
              <w:t>Follow up</w:t>
            </w:r>
          </w:p>
        </w:tc>
        <w:tc>
          <w:tcPr>
            <w:tcW w:w="959" w:type="dxa"/>
            <w:vMerge w:val="restart"/>
            <w:vAlign w:val="center"/>
          </w:tcPr>
          <w:p w:rsidR="00304C44" w:rsidRDefault="00304C44" w:rsidP="00304C44">
            <w:pPr>
              <w:pStyle w:val="TableText"/>
              <w:spacing w:before="60" w:after="60" w:line="240" w:lineRule="auto"/>
              <w:jc w:val="center"/>
              <w:rPr>
                <w:rFonts w:ascii="Arial" w:hAnsi="Arial" w:cs="Arial"/>
              </w:rPr>
            </w:pPr>
            <w:r>
              <w:rPr>
                <w:rFonts w:ascii="Arial" w:hAnsi="Arial" w:cs="Arial"/>
              </w:rPr>
              <w:t>5</w:t>
            </w:r>
          </w:p>
        </w:tc>
        <w:tc>
          <w:tcPr>
            <w:tcW w:w="992" w:type="dxa"/>
            <w:vMerge w:val="restart"/>
            <w:vAlign w:val="center"/>
          </w:tcPr>
          <w:p w:rsidR="00304C44" w:rsidRDefault="00304C44" w:rsidP="00304C44">
            <w:pPr>
              <w:pStyle w:val="TableText"/>
              <w:spacing w:before="60" w:after="60" w:line="240" w:lineRule="auto"/>
              <w:jc w:val="center"/>
              <w:rPr>
                <w:rFonts w:ascii="Arial" w:hAnsi="Arial" w:cs="Arial"/>
              </w:rPr>
            </w:pPr>
            <w:r>
              <w:rPr>
                <w:rFonts w:ascii="Arial" w:hAnsi="Arial" w:cs="Arial"/>
              </w:rPr>
              <w:t>2</w:t>
            </w:r>
          </w:p>
        </w:tc>
        <w:tc>
          <w:tcPr>
            <w:tcW w:w="1134" w:type="dxa"/>
            <w:vMerge w:val="restart"/>
            <w:vAlign w:val="center"/>
          </w:tcPr>
          <w:p w:rsidR="00304C44" w:rsidRDefault="0000359F" w:rsidP="00304C44">
            <w:pPr>
              <w:pStyle w:val="TableText"/>
              <w:spacing w:before="60" w:after="60" w:line="240" w:lineRule="auto"/>
              <w:jc w:val="center"/>
              <w:rPr>
                <w:rFonts w:ascii="Arial" w:hAnsi="Arial" w:cs="Arial"/>
              </w:rPr>
            </w:pPr>
            <w:r>
              <w:rPr>
                <w:rFonts w:ascii="Arial" w:hAnsi="Arial" w:cs="Arial"/>
              </w:rPr>
              <w:t>(</w:t>
            </w:r>
            <w:r w:rsidR="00304C44">
              <w:rPr>
                <w:rFonts w:ascii="Arial" w:hAnsi="Arial" w:cs="Arial"/>
              </w:rPr>
              <w:t>3</w:t>
            </w:r>
            <w:r>
              <w:rPr>
                <w:rFonts w:ascii="Arial" w:hAnsi="Arial" w:cs="Arial"/>
              </w:rPr>
              <w:t>)</w:t>
            </w:r>
          </w:p>
        </w:tc>
        <w:tc>
          <w:tcPr>
            <w:tcW w:w="1134" w:type="dxa"/>
          </w:tcPr>
          <w:p w:rsidR="00304C44" w:rsidRDefault="00304C44" w:rsidP="0014138F">
            <w:pPr>
              <w:pStyle w:val="TableText"/>
              <w:spacing w:before="60" w:after="60" w:line="240" w:lineRule="auto"/>
              <w:jc w:val="center"/>
              <w:rPr>
                <w:rFonts w:ascii="Arial" w:hAnsi="Arial"/>
              </w:rPr>
            </w:pPr>
            <w:r>
              <w:rPr>
                <w:rFonts w:ascii="Arial" w:hAnsi="Arial" w:cs="Arial"/>
              </w:rPr>
              <w:sym w:font="Wingdings" w:char="F0FC"/>
            </w:r>
          </w:p>
        </w:tc>
        <w:tc>
          <w:tcPr>
            <w:tcW w:w="1418" w:type="dxa"/>
          </w:tcPr>
          <w:p w:rsidR="00304C44" w:rsidRDefault="00304C44" w:rsidP="0014138F">
            <w:pPr>
              <w:pStyle w:val="TableText"/>
              <w:spacing w:before="60" w:after="60" w:line="240" w:lineRule="auto"/>
              <w:jc w:val="center"/>
              <w:rPr>
                <w:rFonts w:ascii="Arial" w:hAnsi="Arial"/>
              </w:rPr>
            </w:pPr>
            <w:r>
              <w:rPr>
                <w:rFonts w:ascii="Arial" w:hAnsi="Arial" w:cs="Arial"/>
              </w:rPr>
              <w:sym w:font="Wingdings" w:char="F0FC"/>
            </w:r>
          </w:p>
        </w:tc>
        <w:tc>
          <w:tcPr>
            <w:tcW w:w="5513" w:type="dxa"/>
            <w:vMerge w:val="restart"/>
          </w:tcPr>
          <w:p w:rsidR="00304C44" w:rsidRDefault="00304C44" w:rsidP="003702D6">
            <w:pPr>
              <w:pStyle w:val="TableText"/>
              <w:spacing w:before="60" w:after="60" w:line="240" w:lineRule="auto"/>
              <w:rPr>
                <w:rFonts w:ascii="Arial" w:hAnsi="Arial" w:cs="Arial"/>
              </w:rPr>
            </w:pPr>
            <w:r>
              <w:rPr>
                <w:rFonts w:ascii="Arial" w:hAnsi="Arial" w:cs="Arial"/>
              </w:rPr>
              <w:t>This related to the follow up of</w:t>
            </w:r>
            <w:r w:rsidR="003702D6">
              <w:rPr>
                <w:rFonts w:ascii="Arial" w:hAnsi="Arial" w:cs="Arial"/>
              </w:rPr>
              <w:t xml:space="preserve"> </w:t>
            </w:r>
            <w:r>
              <w:rPr>
                <w:rFonts w:ascii="Arial" w:hAnsi="Arial" w:cs="Arial"/>
              </w:rPr>
              <w:t xml:space="preserve">recommendations for the 2011/12 pension fund reviews. </w:t>
            </w:r>
          </w:p>
        </w:tc>
      </w:tr>
      <w:tr w:rsidR="00304C44" w:rsidTr="00304C44">
        <w:trPr>
          <w:cantSplit/>
          <w:trHeight w:val="285"/>
        </w:trPr>
        <w:tc>
          <w:tcPr>
            <w:tcW w:w="2160" w:type="dxa"/>
            <w:vMerge/>
          </w:tcPr>
          <w:p w:rsidR="00304C44" w:rsidRDefault="00304C44" w:rsidP="005D758D">
            <w:pPr>
              <w:pStyle w:val="TableText"/>
              <w:spacing w:before="60" w:after="60" w:line="240" w:lineRule="auto"/>
              <w:rPr>
                <w:rFonts w:ascii="Arial" w:hAnsi="Arial" w:cs="Arial"/>
                <w:b/>
              </w:rPr>
            </w:pPr>
          </w:p>
        </w:tc>
        <w:tc>
          <w:tcPr>
            <w:tcW w:w="959" w:type="dxa"/>
            <w:vMerge/>
            <w:vAlign w:val="center"/>
          </w:tcPr>
          <w:p w:rsidR="00304C44" w:rsidRDefault="00304C44" w:rsidP="00304C44">
            <w:pPr>
              <w:pStyle w:val="TableText"/>
              <w:spacing w:before="60" w:after="60" w:line="240" w:lineRule="auto"/>
              <w:jc w:val="center"/>
              <w:rPr>
                <w:rFonts w:ascii="Arial" w:hAnsi="Arial" w:cs="Arial"/>
              </w:rPr>
            </w:pPr>
          </w:p>
        </w:tc>
        <w:tc>
          <w:tcPr>
            <w:tcW w:w="992" w:type="dxa"/>
            <w:vMerge/>
            <w:vAlign w:val="center"/>
          </w:tcPr>
          <w:p w:rsidR="00304C44" w:rsidRDefault="00304C44" w:rsidP="00304C44">
            <w:pPr>
              <w:pStyle w:val="TableText"/>
              <w:spacing w:before="60" w:after="60" w:line="240" w:lineRule="auto"/>
              <w:jc w:val="center"/>
              <w:rPr>
                <w:rFonts w:ascii="Arial" w:hAnsi="Arial" w:cs="Arial"/>
              </w:rPr>
            </w:pPr>
          </w:p>
        </w:tc>
        <w:tc>
          <w:tcPr>
            <w:tcW w:w="1134" w:type="dxa"/>
            <w:vMerge/>
            <w:vAlign w:val="center"/>
          </w:tcPr>
          <w:p w:rsidR="00304C44" w:rsidRDefault="00304C44" w:rsidP="00304C44">
            <w:pPr>
              <w:pStyle w:val="TableText"/>
              <w:spacing w:before="60" w:after="60" w:line="240" w:lineRule="auto"/>
              <w:jc w:val="center"/>
              <w:rPr>
                <w:rFonts w:ascii="Arial" w:hAnsi="Arial" w:cs="Arial"/>
              </w:rPr>
            </w:pPr>
          </w:p>
        </w:tc>
        <w:tc>
          <w:tcPr>
            <w:tcW w:w="2552" w:type="dxa"/>
            <w:gridSpan w:val="2"/>
          </w:tcPr>
          <w:p w:rsidR="00304C44" w:rsidRDefault="00304C44" w:rsidP="0014138F">
            <w:pPr>
              <w:pStyle w:val="TableText"/>
              <w:spacing w:before="60" w:after="60" w:line="240" w:lineRule="auto"/>
              <w:jc w:val="center"/>
              <w:rPr>
                <w:rFonts w:ascii="Arial" w:hAnsi="Arial" w:cs="Arial"/>
              </w:rPr>
            </w:pPr>
            <w:r>
              <w:rPr>
                <w:rFonts w:ascii="Arial" w:hAnsi="Arial" w:cs="Arial"/>
              </w:rPr>
              <w:t>Full assurance</w:t>
            </w:r>
          </w:p>
        </w:tc>
        <w:tc>
          <w:tcPr>
            <w:tcW w:w="5513" w:type="dxa"/>
            <w:vMerge/>
          </w:tcPr>
          <w:p w:rsidR="00304C44" w:rsidRDefault="00304C44">
            <w:pPr>
              <w:pStyle w:val="TableText"/>
              <w:spacing w:before="60" w:after="60" w:line="240" w:lineRule="auto"/>
              <w:rPr>
                <w:rFonts w:ascii="Arial" w:hAnsi="Arial" w:cs="Arial"/>
              </w:rPr>
            </w:pPr>
          </w:p>
        </w:tc>
      </w:tr>
      <w:tr w:rsidR="0014138F" w:rsidTr="00DF2004">
        <w:trPr>
          <w:cantSplit/>
          <w:trHeight w:val="726"/>
        </w:trPr>
        <w:tc>
          <w:tcPr>
            <w:tcW w:w="2160" w:type="dxa"/>
          </w:tcPr>
          <w:p w:rsidR="0014138F" w:rsidRPr="00071906" w:rsidRDefault="0014138F" w:rsidP="005D758D">
            <w:pPr>
              <w:pStyle w:val="TableText"/>
              <w:spacing w:before="60" w:after="60" w:line="240" w:lineRule="auto"/>
              <w:rPr>
                <w:rFonts w:ascii="Arial" w:hAnsi="Arial" w:cs="Arial"/>
                <w:b/>
              </w:rPr>
            </w:pPr>
            <w:r w:rsidRPr="00071906">
              <w:rPr>
                <w:rFonts w:ascii="Arial" w:hAnsi="Arial" w:cs="Arial"/>
                <w:b/>
              </w:rPr>
              <w:t>Planning and management</w:t>
            </w:r>
          </w:p>
        </w:tc>
        <w:tc>
          <w:tcPr>
            <w:tcW w:w="959" w:type="dxa"/>
            <w:vAlign w:val="center"/>
          </w:tcPr>
          <w:p w:rsidR="0014138F" w:rsidRDefault="0014138F" w:rsidP="00304C44">
            <w:pPr>
              <w:pStyle w:val="TableText"/>
              <w:spacing w:before="60" w:after="60" w:line="240" w:lineRule="auto"/>
              <w:jc w:val="center"/>
              <w:rPr>
                <w:rFonts w:ascii="Arial" w:hAnsi="Arial" w:cs="Arial"/>
              </w:rPr>
            </w:pPr>
            <w:r>
              <w:rPr>
                <w:rFonts w:ascii="Arial" w:hAnsi="Arial" w:cs="Arial"/>
              </w:rPr>
              <w:t>5</w:t>
            </w:r>
          </w:p>
        </w:tc>
        <w:tc>
          <w:tcPr>
            <w:tcW w:w="992" w:type="dxa"/>
            <w:vAlign w:val="center"/>
          </w:tcPr>
          <w:p w:rsidR="0014138F" w:rsidRDefault="0014138F" w:rsidP="00304C44">
            <w:pPr>
              <w:pStyle w:val="TableText"/>
              <w:spacing w:before="60" w:after="60" w:line="240" w:lineRule="auto"/>
              <w:jc w:val="center"/>
              <w:rPr>
                <w:rFonts w:ascii="Arial" w:hAnsi="Arial" w:cs="Arial"/>
              </w:rPr>
            </w:pPr>
            <w:r>
              <w:rPr>
                <w:rFonts w:ascii="Arial" w:hAnsi="Arial" w:cs="Arial"/>
              </w:rPr>
              <w:t>5</w:t>
            </w:r>
          </w:p>
        </w:tc>
        <w:tc>
          <w:tcPr>
            <w:tcW w:w="1134" w:type="dxa"/>
            <w:vAlign w:val="center"/>
          </w:tcPr>
          <w:p w:rsidR="0014138F" w:rsidRDefault="0014138F" w:rsidP="00304C44">
            <w:pPr>
              <w:pStyle w:val="TableText"/>
              <w:spacing w:before="60" w:after="60" w:line="240" w:lineRule="auto"/>
              <w:jc w:val="center"/>
              <w:rPr>
                <w:rFonts w:ascii="Arial" w:hAnsi="Arial" w:cs="Arial"/>
              </w:rPr>
            </w:pPr>
            <w:r>
              <w:rPr>
                <w:rFonts w:ascii="Arial" w:hAnsi="Arial" w:cs="Arial"/>
              </w:rPr>
              <w:t>0</w:t>
            </w:r>
          </w:p>
        </w:tc>
        <w:tc>
          <w:tcPr>
            <w:tcW w:w="1134" w:type="dxa"/>
          </w:tcPr>
          <w:p w:rsidR="0014138F" w:rsidRDefault="0014138F">
            <w:pPr>
              <w:pStyle w:val="TableText"/>
              <w:spacing w:before="60" w:after="60" w:line="240" w:lineRule="auto"/>
              <w:jc w:val="center"/>
              <w:rPr>
                <w:rFonts w:ascii="Arial" w:hAnsi="Arial" w:cs="Arial"/>
              </w:rPr>
            </w:pPr>
            <w:r>
              <w:rPr>
                <w:rFonts w:ascii="Arial" w:hAnsi="Arial" w:cs="Arial"/>
              </w:rPr>
              <w:t>-</w:t>
            </w:r>
          </w:p>
        </w:tc>
        <w:tc>
          <w:tcPr>
            <w:tcW w:w="1418" w:type="dxa"/>
          </w:tcPr>
          <w:p w:rsidR="0014138F" w:rsidRDefault="0014138F">
            <w:pPr>
              <w:pStyle w:val="TableText"/>
              <w:spacing w:before="60" w:after="60" w:line="240" w:lineRule="auto"/>
              <w:jc w:val="center"/>
              <w:rPr>
                <w:rFonts w:ascii="Arial" w:hAnsi="Arial" w:cs="Arial"/>
              </w:rPr>
            </w:pPr>
            <w:r>
              <w:rPr>
                <w:rFonts w:ascii="Arial" w:hAnsi="Arial" w:cs="Arial"/>
              </w:rPr>
              <w:t>-</w:t>
            </w:r>
          </w:p>
        </w:tc>
        <w:tc>
          <w:tcPr>
            <w:tcW w:w="5513" w:type="dxa"/>
          </w:tcPr>
          <w:p w:rsidR="0014138F" w:rsidRDefault="0014138F">
            <w:pPr>
              <w:pStyle w:val="TableText"/>
              <w:spacing w:before="60" w:after="60" w:line="240" w:lineRule="auto"/>
              <w:rPr>
                <w:rFonts w:ascii="Arial" w:hAnsi="Arial" w:cs="Arial"/>
              </w:rPr>
            </w:pPr>
            <w:r>
              <w:rPr>
                <w:rFonts w:ascii="Arial" w:hAnsi="Arial" w:cs="Arial"/>
              </w:rPr>
              <w:t xml:space="preserve">This time relates to the production of the annual plan and report, planning/ progress meetings and general advice. </w:t>
            </w:r>
          </w:p>
        </w:tc>
      </w:tr>
      <w:tr w:rsidR="0014138F" w:rsidTr="00DF2004">
        <w:trPr>
          <w:cantSplit/>
        </w:trPr>
        <w:tc>
          <w:tcPr>
            <w:tcW w:w="2160" w:type="dxa"/>
          </w:tcPr>
          <w:p w:rsidR="0014138F" w:rsidRDefault="0014138F" w:rsidP="005D758D">
            <w:pPr>
              <w:pStyle w:val="TableText"/>
              <w:spacing w:before="60" w:after="60" w:line="240" w:lineRule="auto"/>
              <w:rPr>
                <w:rFonts w:ascii="Arial" w:hAnsi="Arial" w:cs="Arial"/>
                <w:b/>
              </w:rPr>
            </w:pPr>
            <w:r>
              <w:rPr>
                <w:rFonts w:ascii="Arial" w:hAnsi="Arial" w:cs="Arial"/>
                <w:b/>
              </w:rPr>
              <w:t>Total Days</w:t>
            </w:r>
          </w:p>
        </w:tc>
        <w:tc>
          <w:tcPr>
            <w:tcW w:w="959" w:type="dxa"/>
          </w:tcPr>
          <w:p w:rsidR="0014138F" w:rsidRPr="00045C98" w:rsidRDefault="0014138F" w:rsidP="00304C44">
            <w:pPr>
              <w:pStyle w:val="TableText"/>
              <w:spacing w:before="60" w:after="60" w:line="240" w:lineRule="auto"/>
              <w:jc w:val="center"/>
              <w:rPr>
                <w:rFonts w:ascii="Arial" w:hAnsi="Arial" w:cs="Arial"/>
                <w:b/>
              </w:rPr>
            </w:pPr>
            <w:r>
              <w:rPr>
                <w:rFonts w:ascii="Arial" w:hAnsi="Arial" w:cs="Arial"/>
                <w:b/>
              </w:rPr>
              <w:t>75</w:t>
            </w:r>
          </w:p>
        </w:tc>
        <w:tc>
          <w:tcPr>
            <w:tcW w:w="992" w:type="dxa"/>
          </w:tcPr>
          <w:p w:rsidR="0014138F" w:rsidRPr="001B73BE" w:rsidRDefault="0000359F" w:rsidP="0000359F">
            <w:pPr>
              <w:pStyle w:val="TableText"/>
              <w:spacing w:before="60" w:after="60" w:line="240" w:lineRule="auto"/>
              <w:jc w:val="center"/>
              <w:rPr>
                <w:rFonts w:ascii="Arial" w:hAnsi="Arial" w:cs="Arial"/>
                <w:b/>
              </w:rPr>
            </w:pPr>
            <w:r>
              <w:rPr>
                <w:rFonts w:ascii="Arial" w:hAnsi="Arial" w:cs="Arial"/>
                <w:b/>
              </w:rPr>
              <w:t>67</w:t>
            </w:r>
          </w:p>
        </w:tc>
        <w:tc>
          <w:tcPr>
            <w:tcW w:w="1134" w:type="dxa"/>
          </w:tcPr>
          <w:p w:rsidR="0014138F" w:rsidRPr="0083173D" w:rsidRDefault="0000359F" w:rsidP="00304C44">
            <w:pPr>
              <w:pStyle w:val="TableText"/>
              <w:spacing w:before="60" w:after="60" w:line="240" w:lineRule="auto"/>
              <w:jc w:val="center"/>
              <w:rPr>
                <w:rFonts w:ascii="Arial" w:hAnsi="Arial" w:cs="Arial"/>
              </w:rPr>
            </w:pPr>
            <w:r>
              <w:rPr>
                <w:rFonts w:ascii="Arial" w:hAnsi="Arial" w:cs="Arial"/>
              </w:rPr>
              <w:t>(8)</w:t>
            </w:r>
          </w:p>
        </w:tc>
        <w:tc>
          <w:tcPr>
            <w:tcW w:w="2552" w:type="dxa"/>
            <w:gridSpan w:val="2"/>
          </w:tcPr>
          <w:p w:rsidR="0014138F" w:rsidRDefault="0014138F">
            <w:pPr>
              <w:pStyle w:val="TableText"/>
              <w:spacing w:before="60" w:after="60" w:line="240" w:lineRule="auto"/>
              <w:jc w:val="center"/>
              <w:rPr>
                <w:rFonts w:ascii="Arial" w:hAnsi="Arial" w:cs="Arial"/>
                <w:b/>
              </w:rPr>
            </w:pPr>
          </w:p>
        </w:tc>
        <w:tc>
          <w:tcPr>
            <w:tcW w:w="5513" w:type="dxa"/>
          </w:tcPr>
          <w:p w:rsidR="0014138F" w:rsidRDefault="0014138F">
            <w:pPr>
              <w:pStyle w:val="TableText"/>
              <w:spacing w:before="60" w:after="60" w:line="240" w:lineRule="auto"/>
              <w:rPr>
                <w:rFonts w:ascii="Arial" w:hAnsi="Arial" w:cs="Arial"/>
                <w:b/>
              </w:rPr>
            </w:pPr>
          </w:p>
        </w:tc>
      </w:tr>
    </w:tbl>
    <w:p w:rsidR="00D77E7B" w:rsidRDefault="00D77E7B" w:rsidP="002D7892">
      <w:pPr>
        <w:pStyle w:val="BodyText"/>
        <w:rPr>
          <w:rFonts w:ascii="Arial" w:hAnsi="Arial" w:cs="Arial"/>
          <w:b/>
        </w:rPr>
      </w:pPr>
    </w:p>
    <w:p w:rsidR="00D77E7B" w:rsidRDefault="00D77E7B" w:rsidP="002D7892">
      <w:pPr>
        <w:pStyle w:val="BodyText"/>
        <w:rPr>
          <w:rFonts w:ascii="Arial" w:hAnsi="Arial" w:cs="Arial"/>
          <w:b/>
        </w:rPr>
        <w:sectPr w:rsidR="00D77E7B" w:rsidSect="005D758D">
          <w:headerReference w:type="default" r:id="rId18"/>
          <w:footerReference w:type="default" r:id="rId19"/>
          <w:pgSz w:w="15840" w:h="12240" w:orient="landscape"/>
          <w:pgMar w:top="1418" w:right="1440" w:bottom="1276" w:left="1440" w:header="709" w:footer="709" w:gutter="0"/>
          <w:cols w:space="708"/>
          <w:titlePg/>
          <w:docGrid w:linePitch="360"/>
        </w:sectPr>
      </w:pPr>
    </w:p>
    <w:p w:rsidR="00D77E7B" w:rsidRPr="00AF43EE" w:rsidRDefault="00D77E7B" w:rsidP="002114FB">
      <w:pPr>
        <w:pStyle w:val="BodyText"/>
        <w:ind w:left="-360" w:firstLine="360"/>
        <w:rPr>
          <w:rFonts w:ascii="Arial Bold" w:hAnsi="Arial Bold"/>
          <w:b/>
          <w:sz w:val="24"/>
        </w:rPr>
      </w:pPr>
      <w:r w:rsidRPr="00AF43EE">
        <w:rPr>
          <w:rFonts w:ascii="Arial Bold" w:hAnsi="Arial Bold"/>
          <w:b/>
          <w:sz w:val="24"/>
        </w:rPr>
        <w:lastRenderedPageBreak/>
        <w:t>Summary of our findings and assurance</w:t>
      </w:r>
    </w:p>
    <w:p w:rsidR="00D77E7B" w:rsidRPr="002114FB" w:rsidRDefault="00D77E7B" w:rsidP="002114FB">
      <w:pPr>
        <w:numPr>
          <w:ilvl w:val="0"/>
          <w:numId w:val="25"/>
        </w:numPr>
        <w:spacing w:after="240" w:line="240" w:lineRule="auto"/>
        <w:rPr>
          <w:rFonts w:ascii="Arial Bold" w:hAnsi="Arial Bold"/>
          <w:b/>
          <w:sz w:val="24"/>
        </w:rPr>
      </w:pPr>
      <w:r w:rsidRPr="002114FB">
        <w:rPr>
          <w:rFonts w:ascii="Arial Bold" w:hAnsi="Arial Bold"/>
          <w:b/>
          <w:sz w:val="24"/>
        </w:rPr>
        <w:t>Scope, responsibilities and assurance</w:t>
      </w:r>
    </w:p>
    <w:p w:rsidR="00D77E7B" w:rsidRPr="0052176E" w:rsidRDefault="00D77E7B" w:rsidP="002114FB">
      <w:pPr>
        <w:spacing w:after="240"/>
        <w:ind w:left="1080"/>
        <w:rPr>
          <w:rFonts w:ascii="Arial" w:hAnsi="Arial" w:cs="Arial"/>
          <w:b/>
          <w:i/>
          <w:sz w:val="24"/>
        </w:rPr>
      </w:pPr>
      <w:r w:rsidRPr="0052176E">
        <w:rPr>
          <w:rFonts w:ascii="Arial" w:hAnsi="Arial" w:cs="Arial"/>
          <w:b/>
          <w:i/>
          <w:sz w:val="24"/>
        </w:rPr>
        <w:t>Approach</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 xml:space="preserve">In accordance with the CIPFA Code of Audit Practice, the scope of internal audit encompasses all of the </w:t>
      </w:r>
      <w:r>
        <w:rPr>
          <w:rFonts w:ascii="Arial" w:hAnsi="Arial"/>
          <w:sz w:val="24"/>
        </w:rPr>
        <w:t>Council's</w:t>
      </w:r>
      <w:r w:rsidRPr="002114FB">
        <w:rPr>
          <w:rFonts w:ascii="Arial" w:hAnsi="Arial"/>
          <w:sz w:val="24"/>
        </w:rPr>
        <w:t xml:space="preserve"> operations, resources and services including where they are provided by other organisations on their behalf.</w:t>
      </w:r>
    </w:p>
    <w:p w:rsidR="00D77E7B" w:rsidRPr="0052176E" w:rsidRDefault="00D77E7B" w:rsidP="002114FB">
      <w:pPr>
        <w:spacing w:after="240"/>
        <w:ind w:left="1080"/>
        <w:rPr>
          <w:rFonts w:ascii="Arial" w:hAnsi="Arial" w:cs="Arial"/>
          <w:b/>
          <w:i/>
          <w:sz w:val="24"/>
        </w:rPr>
      </w:pPr>
      <w:r w:rsidRPr="0052176E">
        <w:rPr>
          <w:rFonts w:ascii="Arial" w:hAnsi="Arial" w:cs="Arial"/>
          <w:b/>
          <w:i/>
          <w:sz w:val="24"/>
        </w:rPr>
        <w:t>Responsibilities of management and internal auditors</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It is management’s responsibility to maintain systems of risk management, internal control and governance.  Internal audit is an element of the internal control framework assisting management in the effective discharge of its responsibilities and functions by examining and evaluating controls.  Internal auditors cannot therefore be held responsible for internal control failures.</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However, we have planned our work so that we have a reasonable expectation of detecting significant control weaknesses.  We have reported all such weaknesses to you as they have become known to us, without undue delay, and have worked with you to develop proposals for remedial action.</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Internal audit procedures alone do not guarantee that fraud will be detected.  Accordingly, our examinations as internal auditors should not be relied upon solely to disclose fraud or other irregularities which may exist, unless we are requested to carry out a special investigation for such activities in a particular area.</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Internal audit’s role includes assessing the adequacy of the risk management processes, key internal control systems and corporate governance arrangements put in place by management and performing testing on a sample of transactions to ensure those controls were operating for the period under review.</w:t>
      </w:r>
    </w:p>
    <w:p w:rsidR="00D77E7B" w:rsidRPr="0052176E" w:rsidRDefault="00D77E7B" w:rsidP="002114FB">
      <w:pPr>
        <w:spacing w:after="240"/>
        <w:ind w:left="1080"/>
        <w:rPr>
          <w:rFonts w:ascii="Arial" w:hAnsi="Arial" w:cs="Arial"/>
          <w:b/>
          <w:i/>
          <w:sz w:val="24"/>
        </w:rPr>
      </w:pPr>
      <w:r w:rsidRPr="0052176E">
        <w:rPr>
          <w:rFonts w:ascii="Arial" w:hAnsi="Arial" w:cs="Arial"/>
          <w:b/>
          <w:i/>
          <w:sz w:val="24"/>
        </w:rPr>
        <w:t>Basis of our assessment</w:t>
      </w:r>
    </w:p>
    <w:p w:rsidR="00D77E7B" w:rsidRDefault="00D77E7B" w:rsidP="002114FB">
      <w:pPr>
        <w:pStyle w:val="BodyText"/>
        <w:numPr>
          <w:ilvl w:val="1"/>
          <w:numId w:val="25"/>
        </w:numPr>
        <w:rPr>
          <w:rFonts w:ascii="Arial" w:hAnsi="Arial"/>
          <w:sz w:val="24"/>
        </w:rPr>
      </w:pPr>
      <w:r w:rsidRPr="002114FB">
        <w:rPr>
          <w:rFonts w:ascii="Arial" w:hAnsi="Arial"/>
          <w:sz w:val="24"/>
        </w:rPr>
        <w:t>Our opinion on the adequacy of control arrangements is based upon the result of internal audit reviews undertaken during the period in accordance with the plan</w:t>
      </w:r>
      <w:r w:rsidR="001E59A6">
        <w:rPr>
          <w:rFonts w:ascii="Arial" w:hAnsi="Arial"/>
          <w:sz w:val="24"/>
        </w:rPr>
        <w:t xml:space="preserve"> approved by </w:t>
      </w:r>
      <w:r>
        <w:rPr>
          <w:rFonts w:ascii="Arial" w:hAnsi="Arial"/>
          <w:sz w:val="24"/>
        </w:rPr>
        <w:t>the Pension Fund Committee</w:t>
      </w:r>
      <w:r w:rsidRPr="002114FB">
        <w:rPr>
          <w:rFonts w:ascii="Arial" w:hAnsi="Arial"/>
          <w:sz w:val="24"/>
        </w:rPr>
        <w:t>.  We have obtained sufficient, reliable and relevant evidence to support the recommendations that we have made.</w:t>
      </w:r>
    </w:p>
    <w:p w:rsidR="00D77E7B" w:rsidRPr="002114FB" w:rsidRDefault="00D77E7B" w:rsidP="002114FB">
      <w:pPr>
        <w:pStyle w:val="BodyText"/>
        <w:rPr>
          <w:rFonts w:ascii="Arial" w:hAnsi="Arial"/>
          <w:sz w:val="24"/>
        </w:rPr>
      </w:pPr>
    </w:p>
    <w:p w:rsidR="00D77E7B" w:rsidRPr="0052176E" w:rsidRDefault="00D77E7B" w:rsidP="002114FB">
      <w:pPr>
        <w:spacing w:after="240"/>
        <w:ind w:left="1080"/>
        <w:rPr>
          <w:rFonts w:ascii="Arial" w:hAnsi="Arial" w:cs="Arial"/>
          <w:b/>
          <w:i/>
          <w:sz w:val="24"/>
        </w:rPr>
      </w:pPr>
      <w:r w:rsidRPr="0052176E">
        <w:rPr>
          <w:rFonts w:ascii="Arial" w:hAnsi="Arial" w:cs="Arial"/>
          <w:b/>
          <w:i/>
          <w:sz w:val="24"/>
        </w:rPr>
        <w:lastRenderedPageBreak/>
        <w:t>Limitations to the scope of our work</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 xml:space="preserve">No limitations have been placed on the scope or extent of the work we carried out during the year by the management or staff of the </w:t>
      </w:r>
      <w:r>
        <w:rPr>
          <w:rFonts w:ascii="Arial" w:hAnsi="Arial"/>
          <w:sz w:val="24"/>
        </w:rPr>
        <w:t>County Treasurer's Department.</w:t>
      </w:r>
    </w:p>
    <w:p w:rsidR="00D77E7B" w:rsidRPr="0052176E" w:rsidRDefault="00D77E7B" w:rsidP="002114FB">
      <w:pPr>
        <w:spacing w:after="240"/>
        <w:ind w:left="1080"/>
        <w:rPr>
          <w:rFonts w:ascii="Arial" w:hAnsi="Arial" w:cs="Arial"/>
          <w:b/>
          <w:i/>
          <w:sz w:val="24"/>
        </w:rPr>
      </w:pPr>
      <w:r w:rsidRPr="0052176E">
        <w:rPr>
          <w:rFonts w:ascii="Arial" w:hAnsi="Arial" w:cs="Arial"/>
          <w:b/>
          <w:i/>
          <w:sz w:val="24"/>
        </w:rPr>
        <w:t>Limitations on the assurance that internal audit can provide</w:t>
      </w:r>
    </w:p>
    <w:p w:rsidR="00D77E7B" w:rsidRPr="002114FB" w:rsidRDefault="00D77E7B" w:rsidP="002114FB">
      <w:pPr>
        <w:pStyle w:val="BodyText"/>
        <w:numPr>
          <w:ilvl w:val="1"/>
          <w:numId w:val="25"/>
        </w:numPr>
        <w:rPr>
          <w:rFonts w:ascii="Arial" w:hAnsi="Arial"/>
          <w:sz w:val="24"/>
        </w:rPr>
      </w:pPr>
      <w:r w:rsidRPr="002114FB">
        <w:rPr>
          <w:rFonts w:ascii="Arial" w:hAnsi="Arial"/>
          <w:sz w:val="24"/>
        </w:rPr>
        <w:t>There are inherent limitations as to what can be achieved by internal control and consequently limitations to the conclusions that can be drawn from our work as internal auditors.  These limitations include the possibility of faulty judgement in decision making, of breakdowns because of human error, of control activities being circumvented by the collusion of two or more people and of management overriding controls.  Also there is no certainty that internal controls will continue to operate effectively in future periods or that the controls will be adequate to mitigate all significant risks which may arise in future.</w:t>
      </w:r>
    </w:p>
    <w:p w:rsidR="00D77E7B" w:rsidRDefault="00D77E7B" w:rsidP="002114FB">
      <w:pPr>
        <w:pStyle w:val="BodyText"/>
        <w:numPr>
          <w:ilvl w:val="1"/>
          <w:numId w:val="25"/>
        </w:numPr>
        <w:rPr>
          <w:rFonts w:ascii="Arial" w:hAnsi="Arial"/>
          <w:sz w:val="24"/>
        </w:rPr>
      </w:pPr>
      <w:r w:rsidRPr="002114FB">
        <w:rPr>
          <w:rFonts w:ascii="Arial" w:hAnsi="Arial"/>
          <w:sz w:val="24"/>
        </w:rPr>
        <w:t>Decisions made in designing internal controls inevitably involve the acceptance of some degree of risk.  As the outcome of the operation of internal controls cannot be predicted with absolute assurance any assessment of internal control is judgmental.</w:t>
      </w:r>
    </w:p>
    <w:p w:rsidR="0058666B" w:rsidRDefault="0058666B" w:rsidP="0058666B">
      <w:pPr>
        <w:autoSpaceDE w:val="0"/>
        <w:autoSpaceDN w:val="0"/>
        <w:adjustRightInd w:val="0"/>
        <w:spacing w:line="240" w:lineRule="auto"/>
        <w:ind w:left="792" w:firstLine="288"/>
        <w:rPr>
          <w:rFonts w:ascii="Arial" w:hAnsi="Arial" w:cs="Arial"/>
          <w:b/>
          <w:bCs/>
          <w:i/>
          <w:sz w:val="24"/>
          <w:szCs w:val="24"/>
          <w:lang w:eastAsia="en-GB"/>
        </w:rPr>
      </w:pPr>
      <w:r w:rsidRPr="00AF0705">
        <w:rPr>
          <w:rFonts w:ascii="Arial" w:hAnsi="Arial" w:cs="Arial"/>
          <w:b/>
          <w:bCs/>
          <w:i/>
          <w:sz w:val="24"/>
          <w:szCs w:val="24"/>
          <w:lang w:eastAsia="en-GB"/>
        </w:rPr>
        <w:t>Audit assurance levels</w:t>
      </w:r>
    </w:p>
    <w:p w:rsidR="0058666B" w:rsidRPr="00AF0705" w:rsidRDefault="0058666B" w:rsidP="0058666B">
      <w:pPr>
        <w:autoSpaceDE w:val="0"/>
        <w:autoSpaceDN w:val="0"/>
        <w:adjustRightInd w:val="0"/>
        <w:spacing w:line="240" w:lineRule="auto"/>
        <w:ind w:left="432"/>
        <w:rPr>
          <w:rFonts w:ascii="Arial" w:hAnsi="Arial" w:cs="Arial"/>
          <w:b/>
          <w:bCs/>
          <w:i/>
          <w:sz w:val="24"/>
          <w:szCs w:val="24"/>
          <w:lang w:eastAsia="en-GB"/>
        </w:rPr>
      </w:pPr>
    </w:p>
    <w:p w:rsidR="0058666B" w:rsidRPr="003F1782" w:rsidRDefault="0058666B" w:rsidP="0058666B">
      <w:pPr>
        <w:pStyle w:val="BodyText"/>
        <w:numPr>
          <w:ilvl w:val="1"/>
          <w:numId w:val="25"/>
        </w:numPr>
        <w:rPr>
          <w:rFonts w:ascii="Arial" w:hAnsi="Arial" w:cs="Arial"/>
          <w:sz w:val="24"/>
          <w:szCs w:val="24"/>
          <w:lang w:eastAsia="en-GB"/>
        </w:rPr>
      </w:pPr>
      <w:r w:rsidRPr="003F1782">
        <w:rPr>
          <w:rFonts w:ascii="Arial" w:hAnsi="Arial" w:cs="Arial"/>
          <w:sz w:val="24"/>
          <w:szCs w:val="24"/>
          <w:lang w:eastAsia="en-GB"/>
        </w:rPr>
        <w:t>The assurance we can provide over any area of control falls into one of four</w:t>
      </w:r>
      <w:r>
        <w:rPr>
          <w:rFonts w:ascii="Arial" w:hAnsi="Arial" w:cs="Arial"/>
          <w:sz w:val="24"/>
          <w:szCs w:val="24"/>
          <w:lang w:eastAsia="en-GB"/>
        </w:rPr>
        <w:t xml:space="preserve"> </w:t>
      </w:r>
      <w:r w:rsidRPr="003F1782">
        <w:rPr>
          <w:rFonts w:ascii="Arial" w:hAnsi="Arial" w:cs="Arial"/>
          <w:sz w:val="24"/>
          <w:szCs w:val="24"/>
          <w:lang w:eastAsia="en-GB"/>
        </w:rPr>
        <w:t>categories as follows:</w:t>
      </w:r>
    </w:p>
    <w:p w:rsidR="0058666B" w:rsidRDefault="0058666B" w:rsidP="0058666B">
      <w:pPr>
        <w:autoSpaceDE w:val="0"/>
        <w:autoSpaceDN w:val="0"/>
        <w:adjustRightInd w:val="0"/>
        <w:spacing w:line="240" w:lineRule="auto"/>
        <w:ind w:left="1080"/>
        <w:rPr>
          <w:rFonts w:ascii="Arial" w:hAnsi="Arial" w:cs="Arial"/>
          <w:sz w:val="24"/>
          <w:szCs w:val="24"/>
          <w:lang w:eastAsia="en-GB"/>
        </w:rPr>
      </w:pPr>
      <w:r>
        <w:rPr>
          <w:rFonts w:ascii="Arial" w:hAnsi="Arial" w:cs="Arial"/>
          <w:b/>
          <w:bCs/>
          <w:sz w:val="24"/>
          <w:szCs w:val="24"/>
          <w:lang w:eastAsia="en-GB"/>
        </w:rPr>
        <w:t>Full assurance</w:t>
      </w:r>
      <w:r>
        <w:rPr>
          <w:rFonts w:ascii="Arial" w:hAnsi="Arial" w:cs="Arial"/>
          <w:sz w:val="24"/>
          <w:szCs w:val="24"/>
          <w:lang w:eastAsia="en-GB"/>
        </w:rPr>
        <w:t>: there is a sound system of internal control which is adequately designed to meet the service objectives and is effective in that controls are being consistently applied.</w:t>
      </w:r>
    </w:p>
    <w:p w:rsidR="0058666B" w:rsidRDefault="0058666B" w:rsidP="0058666B">
      <w:pPr>
        <w:autoSpaceDE w:val="0"/>
        <w:autoSpaceDN w:val="0"/>
        <w:adjustRightInd w:val="0"/>
        <w:spacing w:line="240" w:lineRule="auto"/>
        <w:ind w:left="432"/>
        <w:rPr>
          <w:rFonts w:ascii="Arial" w:hAnsi="Arial" w:cs="Arial"/>
          <w:sz w:val="24"/>
          <w:szCs w:val="24"/>
          <w:lang w:eastAsia="en-GB"/>
        </w:rPr>
      </w:pPr>
    </w:p>
    <w:p w:rsidR="0058666B" w:rsidRDefault="0058666B" w:rsidP="0058666B">
      <w:pPr>
        <w:autoSpaceDE w:val="0"/>
        <w:autoSpaceDN w:val="0"/>
        <w:adjustRightInd w:val="0"/>
        <w:spacing w:line="240" w:lineRule="auto"/>
        <w:ind w:left="1080"/>
        <w:rPr>
          <w:rFonts w:ascii="Arial" w:hAnsi="Arial" w:cs="Arial"/>
          <w:sz w:val="24"/>
          <w:szCs w:val="24"/>
          <w:lang w:eastAsia="en-GB"/>
        </w:rPr>
      </w:pPr>
      <w:r>
        <w:rPr>
          <w:rFonts w:ascii="Arial" w:hAnsi="Arial" w:cs="Arial"/>
          <w:b/>
          <w:bCs/>
          <w:sz w:val="24"/>
          <w:szCs w:val="24"/>
          <w:lang w:eastAsia="en-GB"/>
        </w:rPr>
        <w:t>Substantial assurance</w:t>
      </w:r>
      <w:r>
        <w:rPr>
          <w:rFonts w:ascii="Arial" w:hAnsi="Arial" w:cs="Arial"/>
          <w:sz w:val="24"/>
          <w:szCs w:val="24"/>
          <w:lang w:eastAsia="en-GB"/>
        </w:rPr>
        <w:t>: there is a generally sound system of internal control, adequately designed to meet the service objectives, and controls are generally being applied consistently. However some weakness in the design and/ or inconsistent application of controls put the achievement of particular objectives at risk.</w:t>
      </w:r>
    </w:p>
    <w:p w:rsidR="0058666B" w:rsidRDefault="0058666B" w:rsidP="0058666B">
      <w:pPr>
        <w:autoSpaceDE w:val="0"/>
        <w:autoSpaceDN w:val="0"/>
        <w:adjustRightInd w:val="0"/>
        <w:spacing w:line="240" w:lineRule="auto"/>
        <w:ind w:left="432"/>
        <w:rPr>
          <w:rFonts w:ascii="Arial" w:hAnsi="Arial" w:cs="Arial"/>
          <w:sz w:val="24"/>
          <w:szCs w:val="24"/>
          <w:lang w:eastAsia="en-GB"/>
        </w:rPr>
      </w:pPr>
    </w:p>
    <w:p w:rsidR="0058666B" w:rsidRDefault="0058666B" w:rsidP="0058666B">
      <w:pPr>
        <w:autoSpaceDE w:val="0"/>
        <w:autoSpaceDN w:val="0"/>
        <w:adjustRightInd w:val="0"/>
        <w:spacing w:line="240" w:lineRule="auto"/>
        <w:ind w:left="1080"/>
        <w:rPr>
          <w:rFonts w:ascii="Arial" w:hAnsi="Arial" w:cs="Arial"/>
          <w:sz w:val="24"/>
          <w:szCs w:val="24"/>
          <w:lang w:eastAsia="en-GB"/>
        </w:rPr>
      </w:pPr>
      <w:r>
        <w:rPr>
          <w:rFonts w:ascii="Arial" w:hAnsi="Arial" w:cs="Arial"/>
          <w:b/>
          <w:bCs/>
          <w:sz w:val="24"/>
          <w:szCs w:val="24"/>
          <w:lang w:eastAsia="en-GB"/>
        </w:rPr>
        <w:t>Limited assurance</w:t>
      </w:r>
      <w:r>
        <w:rPr>
          <w:rFonts w:ascii="Arial" w:hAnsi="Arial" w:cs="Arial"/>
          <w:sz w:val="24"/>
          <w:szCs w:val="24"/>
          <w:lang w:eastAsia="en-GB"/>
        </w:rPr>
        <w:t>: weaknesses in the design and/ or inconsistent application of controls put the achievement of the service's objectives at risk.</w:t>
      </w:r>
    </w:p>
    <w:p w:rsidR="0058666B" w:rsidRDefault="0058666B" w:rsidP="0058666B">
      <w:pPr>
        <w:autoSpaceDE w:val="0"/>
        <w:autoSpaceDN w:val="0"/>
        <w:adjustRightInd w:val="0"/>
        <w:spacing w:line="240" w:lineRule="auto"/>
        <w:ind w:left="432"/>
        <w:rPr>
          <w:rFonts w:ascii="Arial" w:hAnsi="Arial" w:cs="Arial"/>
          <w:sz w:val="24"/>
          <w:szCs w:val="24"/>
          <w:lang w:eastAsia="en-GB"/>
        </w:rPr>
      </w:pPr>
    </w:p>
    <w:p w:rsidR="00D77E7B" w:rsidRPr="0058666B" w:rsidRDefault="0058666B" w:rsidP="0058666B">
      <w:pPr>
        <w:autoSpaceDE w:val="0"/>
        <w:autoSpaceDN w:val="0"/>
        <w:adjustRightInd w:val="0"/>
        <w:spacing w:line="240" w:lineRule="auto"/>
        <w:ind w:left="1080"/>
        <w:rPr>
          <w:rFonts w:ascii="Arial" w:hAnsi="Arial" w:cs="Arial"/>
          <w:sz w:val="24"/>
          <w:szCs w:val="24"/>
        </w:rPr>
      </w:pPr>
      <w:r w:rsidRPr="00AF0705">
        <w:rPr>
          <w:rFonts w:ascii="Arial" w:hAnsi="Arial" w:cs="Arial"/>
          <w:b/>
          <w:bCs/>
          <w:sz w:val="24"/>
          <w:szCs w:val="24"/>
          <w:lang w:eastAsia="en-GB"/>
        </w:rPr>
        <w:t>No assurance</w:t>
      </w:r>
      <w:r w:rsidRPr="00AF0705">
        <w:rPr>
          <w:rFonts w:ascii="Arial" w:hAnsi="Arial" w:cs="Arial"/>
          <w:sz w:val="24"/>
          <w:szCs w:val="24"/>
          <w:lang w:eastAsia="en-GB"/>
        </w:rPr>
        <w:t xml:space="preserve">: weaknesses in control and/ or consistent non-compliance with controls could result/ has resulted in failure to achieve the </w:t>
      </w:r>
      <w:r>
        <w:rPr>
          <w:rFonts w:ascii="Arial" w:hAnsi="Arial" w:cs="Arial"/>
          <w:sz w:val="24"/>
          <w:szCs w:val="24"/>
          <w:lang w:eastAsia="en-GB"/>
        </w:rPr>
        <w:t>service</w:t>
      </w:r>
      <w:r w:rsidRPr="00AF0705">
        <w:rPr>
          <w:rFonts w:ascii="Arial" w:hAnsi="Arial" w:cs="Arial"/>
          <w:sz w:val="24"/>
          <w:szCs w:val="24"/>
          <w:lang w:eastAsia="en-GB"/>
        </w:rPr>
        <w:t xml:space="preserve"> objectives.</w:t>
      </w:r>
    </w:p>
    <w:sectPr w:rsidR="00D77E7B" w:rsidRPr="0058666B" w:rsidSect="002114FB">
      <w:pgSz w:w="12240" w:h="15840"/>
      <w:pgMar w:top="1440" w:right="2115"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64" w:rsidRDefault="00E31C64">
      <w:r>
        <w:separator/>
      </w:r>
    </w:p>
  </w:endnote>
  <w:endnote w:type="continuationSeparator" w:id="0">
    <w:p w:rsidR="00E31C64" w:rsidRDefault="00E31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A" w:rsidRDefault="00F31839" w:rsidP="00C57A17">
    <w:pPr>
      <w:pStyle w:val="Footer"/>
      <w:framePr w:wrap="around" w:vAnchor="text" w:hAnchor="margin" w:xAlign="right" w:y="1"/>
      <w:rPr>
        <w:rStyle w:val="PageNumber"/>
      </w:rPr>
    </w:pPr>
    <w:r>
      <w:rPr>
        <w:rStyle w:val="PageNumber"/>
      </w:rPr>
      <w:fldChar w:fldCharType="begin"/>
    </w:r>
    <w:r w:rsidR="00A40FBA">
      <w:rPr>
        <w:rStyle w:val="PageNumber"/>
      </w:rPr>
      <w:instrText xml:space="preserve">PAGE  </w:instrText>
    </w:r>
    <w:r>
      <w:rPr>
        <w:rStyle w:val="PageNumber"/>
      </w:rPr>
      <w:fldChar w:fldCharType="end"/>
    </w:r>
  </w:p>
  <w:p w:rsidR="00A40FBA" w:rsidRDefault="00A40FBA" w:rsidP="00C57A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A" w:rsidRDefault="00A40FBA" w:rsidP="00C57A1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AA" w:rsidRDefault="000F69A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A" w:rsidRPr="00E14CA2" w:rsidRDefault="00A40FBA" w:rsidP="00E14CA2">
    <w:pPr>
      <w:pStyle w:val="Footer"/>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A" w:rsidRPr="001E24FE" w:rsidRDefault="00A40FBA" w:rsidP="000F69AA">
    <w:pPr>
      <w:pStyle w:val="Footer"/>
      <w:tabs>
        <w:tab w:val="clear" w:pos="4153"/>
      </w:tabs>
      <w:ind w:left="720"/>
      <w:jc w:val="right"/>
      <w:rPr>
        <w:rFonts w:ascii="Arial" w:hAnsi="Arial"/>
      </w:rPr>
    </w:pPr>
    <w:r>
      <w:tab/>
    </w:r>
    <w:r w:rsidR="00F31839" w:rsidRPr="001E24FE">
      <w:rPr>
        <w:rStyle w:val="PageNumber"/>
        <w:rFonts w:ascii="Arial" w:hAnsi="Arial"/>
      </w:rPr>
      <w:fldChar w:fldCharType="begin"/>
    </w:r>
    <w:r w:rsidRPr="001E24FE">
      <w:rPr>
        <w:rStyle w:val="PageNumber"/>
        <w:rFonts w:ascii="Arial" w:hAnsi="Arial"/>
      </w:rPr>
      <w:instrText xml:space="preserve"> PAGE </w:instrText>
    </w:r>
    <w:r w:rsidR="00F31839" w:rsidRPr="001E24FE">
      <w:rPr>
        <w:rStyle w:val="PageNumber"/>
        <w:rFonts w:ascii="Arial" w:hAnsi="Arial"/>
      </w:rPr>
      <w:fldChar w:fldCharType="separate"/>
    </w:r>
    <w:r w:rsidR="000F69AA">
      <w:rPr>
        <w:rStyle w:val="PageNumber"/>
        <w:rFonts w:ascii="Arial" w:hAnsi="Arial"/>
        <w:noProof/>
      </w:rPr>
      <w:t>2</w:t>
    </w:r>
    <w:r w:rsidR="00F31839" w:rsidRPr="001E24FE">
      <w:rPr>
        <w:rStyle w:val="PageNumber"/>
        <w:rFonts w:ascii="Arial" w:hAnsi="Arial"/>
      </w:rPr>
      <w:fldChar w:fldCharType="end"/>
    </w:r>
    <w:r w:rsidRPr="001E24FE">
      <w:rPr>
        <w:rFonts w:ascii="Arial" w:hAnsi="Arial"/>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A" w:rsidRPr="001E24FE" w:rsidRDefault="00A40FBA" w:rsidP="00E14CA2">
    <w:pPr>
      <w:pStyle w:val="Footer"/>
      <w:rPr>
        <w:rFonts w:ascii="Arial" w:hAnsi="Arial" w:cs="Arial"/>
      </w:rPr>
    </w:pPr>
    <w:r>
      <w:tab/>
      <w:t xml:space="preserve">                                                                                  </w:t>
    </w:r>
    <w:r w:rsidR="00F31839" w:rsidRPr="001E24FE">
      <w:rPr>
        <w:rStyle w:val="PageNumber"/>
        <w:rFonts w:ascii="Arial" w:hAnsi="Arial" w:cs="Arial"/>
      </w:rPr>
      <w:fldChar w:fldCharType="begin"/>
    </w:r>
    <w:r w:rsidRPr="001E24FE">
      <w:rPr>
        <w:rStyle w:val="PageNumber"/>
        <w:rFonts w:ascii="Arial" w:hAnsi="Arial" w:cs="Arial"/>
      </w:rPr>
      <w:instrText xml:space="preserve"> PAGE </w:instrText>
    </w:r>
    <w:r w:rsidR="00F31839" w:rsidRPr="001E24FE">
      <w:rPr>
        <w:rStyle w:val="PageNumber"/>
        <w:rFonts w:ascii="Arial" w:hAnsi="Arial" w:cs="Arial"/>
      </w:rPr>
      <w:fldChar w:fldCharType="separate"/>
    </w:r>
    <w:r w:rsidR="000F69AA">
      <w:rPr>
        <w:rStyle w:val="PageNumber"/>
        <w:rFonts w:ascii="Arial" w:hAnsi="Arial" w:cs="Arial"/>
        <w:noProof/>
      </w:rPr>
      <w:t>9</w:t>
    </w:r>
    <w:r w:rsidR="00F31839" w:rsidRPr="001E24FE">
      <w:rPr>
        <w:rStyle w:val="PageNumber"/>
        <w:rFonts w:ascii="Arial" w:hAnsi="Arial" w:cs="Arial"/>
      </w:rPr>
      <w:fldChar w:fldCharType="end"/>
    </w:r>
    <w:r w:rsidRPr="001E24FE">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64" w:rsidRDefault="00E31C64">
      <w:r>
        <w:separator/>
      </w:r>
    </w:p>
  </w:footnote>
  <w:footnote w:type="continuationSeparator" w:id="0">
    <w:p w:rsidR="00E31C64" w:rsidRDefault="00E31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AA" w:rsidRDefault="000F69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AA" w:rsidRDefault="000F69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AA" w:rsidRDefault="000F69A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A" w:rsidRPr="004636A1" w:rsidRDefault="00A40FBA">
    <w:pPr>
      <w:pStyle w:val="Header"/>
      <w:rPr>
        <w:rFonts w:ascii="Arial" w:hAnsi="Arial" w:cs="Arial"/>
      </w:rPr>
    </w:pPr>
    <w:smartTag w:uri="urn:schemas-microsoft-com:office:smarttags" w:element="place">
      <w:r w:rsidRPr="004636A1">
        <w:rPr>
          <w:rFonts w:ascii="Arial" w:hAnsi="Arial" w:cs="Arial"/>
        </w:rPr>
        <w:t>Lancashire</w:t>
      </w:r>
    </w:smartTag>
    <w:r w:rsidRPr="004636A1">
      <w:rPr>
        <w:rFonts w:ascii="Arial" w:hAnsi="Arial" w:cs="Arial"/>
      </w:rPr>
      <w:t xml:space="preserve"> </w:t>
    </w:r>
    <w:r>
      <w:rPr>
        <w:rFonts w:ascii="Arial" w:hAnsi="Arial" w:cs="Arial"/>
      </w:rPr>
      <w:t xml:space="preserve">County Council Internal Audit </w:t>
    </w:r>
    <w:r w:rsidRPr="004636A1">
      <w:rPr>
        <w:rFonts w:ascii="Arial" w:hAnsi="Arial" w:cs="Arial"/>
      </w:rPr>
      <w:t>Service</w:t>
    </w:r>
  </w:p>
  <w:p w:rsidR="00A40FBA" w:rsidRPr="004636A1" w:rsidRDefault="00A40FBA">
    <w:pPr>
      <w:pStyle w:val="Header"/>
      <w:rPr>
        <w:rFonts w:ascii="Arial" w:hAnsi="Arial" w:cs="Arial"/>
      </w:rPr>
    </w:pPr>
    <w:r>
      <w:rPr>
        <w:rFonts w:ascii="Arial" w:hAnsi="Arial" w:cs="Arial"/>
      </w:rPr>
      <w:t>Pension fund</w:t>
    </w:r>
    <w:r w:rsidRPr="004636A1">
      <w:rPr>
        <w:rFonts w:ascii="Arial" w:hAnsi="Arial" w:cs="Arial"/>
      </w:rPr>
      <w:t xml:space="preserve"> annual report </w:t>
    </w:r>
    <w:r>
      <w:rPr>
        <w:rFonts w:ascii="Arial" w:hAnsi="Arial" w:cs="Arial"/>
      </w:rPr>
      <w:t>for the year ended 31 March 2013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A" w:rsidRPr="004636A1" w:rsidRDefault="00A40FBA" w:rsidP="00AD3817">
    <w:pPr>
      <w:pStyle w:val="Header"/>
      <w:rPr>
        <w:rFonts w:ascii="Arial" w:hAnsi="Arial" w:cs="Arial"/>
      </w:rPr>
    </w:pPr>
    <w:r w:rsidRPr="004636A1">
      <w:rPr>
        <w:rFonts w:ascii="Arial" w:hAnsi="Arial" w:cs="Arial"/>
      </w:rPr>
      <w:t xml:space="preserve">Lancashire </w:t>
    </w:r>
    <w:r>
      <w:rPr>
        <w:rFonts w:ascii="Arial" w:hAnsi="Arial" w:cs="Arial"/>
      </w:rPr>
      <w:t xml:space="preserve">County Council Internal </w:t>
    </w:r>
    <w:r w:rsidRPr="004636A1">
      <w:rPr>
        <w:rFonts w:ascii="Arial" w:hAnsi="Arial" w:cs="Arial"/>
      </w:rPr>
      <w:t>Audit Service</w:t>
    </w:r>
    <w:r>
      <w:rPr>
        <w:rFonts w:ascii="Arial" w:hAnsi="Arial" w:cs="Arial"/>
      </w:rPr>
      <w:tab/>
    </w:r>
    <w:r>
      <w:rPr>
        <w:rFonts w:ascii="Arial" w:hAnsi="Arial" w:cs="Arial"/>
      </w:rPr>
      <w:tab/>
    </w:r>
    <w:r>
      <w:rPr>
        <w:rFonts w:ascii="Arial" w:hAnsi="Arial" w:cs="Arial"/>
      </w:rPr>
      <w:tab/>
    </w:r>
  </w:p>
  <w:p w:rsidR="00A40FBA" w:rsidRPr="004636A1" w:rsidRDefault="00A40FBA" w:rsidP="00AD3817">
    <w:pPr>
      <w:pStyle w:val="Header"/>
      <w:rPr>
        <w:rFonts w:ascii="Arial" w:hAnsi="Arial" w:cs="Arial"/>
      </w:rPr>
    </w:pPr>
    <w:r w:rsidRPr="004636A1">
      <w:rPr>
        <w:rFonts w:ascii="Arial" w:hAnsi="Arial" w:cs="Arial"/>
      </w:rPr>
      <w:t xml:space="preserve">Annual report </w:t>
    </w:r>
    <w:r>
      <w:rPr>
        <w:rFonts w:ascii="Arial" w:hAnsi="Arial" w:cs="Arial"/>
      </w:rPr>
      <w:t>for the year ended 31 March 2013</w:t>
    </w:r>
  </w:p>
  <w:p w:rsidR="00A40FBA" w:rsidRPr="004636A1" w:rsidRDefault="00A40FBA">
    <w:pPr>
      <w:pStyle w:val="Header"/>
      <w:rPr>
        <w:rFonts w:ascii="Arial" w:hAnsi="Arial" w:cs="Aria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A" w:rsidRPr="004636A1" w:rsidRDefault="00A40FBA">
    <w:pPr>
      <w:pStyle w:val="Header"/>
      <w:rPr>
        <w:rFonts w:ascii="Arial" w:hAnsi="Arial" w:cs="Arial"/>
      </w:rPr>
    </w:pPr>
    <w:r w:rsidRPr="004636A1">
      <w:rPr>
        <w:rFonts w:ascii="Arial" w:hAnsi="Arial" w:cs="Arial"/>
      </w:rPr>
      <w:t xml:space="preserve">Lancashire </w:t>
    </w:r>
    <w:r>
      <w:rPr>
        <w:rFonts w:ascii="Arial" w:hAnsi="Arial" w:cs="Arial"/>
      </w:rPr>
      <w:t>County Council Internal Au</w:t>
    </w:r>
    <w:r w:rsidRPr="004636A1">
      <w:rPr>
        <w:rFonts w:ascii="Arial" w:hAnsi="Arial" w:cs="Arial"/>
      </w:rPr>
      <w:t>dit Service</w:t>
    </w:r>
  </w:p>
  <w:p w:rsidR="00A40FBA" w:rsidRPr="004636A1" w:rsidRDefault="00A40FBA">
    <w:pPr>
      <w:pStyle w:val="Header"/>
      <w:rPr>
        <w:rFonts w:ascii="Arial" w:hAnsi="Arial" w:cs="Arial"/>
      </w:rPr>
    </w:pPr>
    <w:r w:rsidRPr="004636A1">
      <w:rPr>
        <w:rFonts w:ascii="Arial" w:hAnsi="Arial" w:cs="Arial"/>
      </w:rPr>
      <w:t xml:space="preserve">Annual report </w:t>
    </w:r>
    <w:r>
      <w:rPr>
        <w:rFonts w:ascii="Arial" w:hAnsi="Arial" w:cs="Arial"/>
      </w:rPr>
      <w:t>for the year ended 31 March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01A5"/>
    <w:multiLevelType w:val="multilevel"/>
    <w:tmpl w:val="7E32A53A"/>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
    <w:nsid w:val="094C6CB1"/>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BB30434"/>
    <w:multiLevelType w:val="hybridMultilevel"/>
    <w:tmpl w:val="BB961FE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nsid w:val="0E62740A"/>
    <w:multiLevelType w:val="hybridMultilevel"/>
    <w:tmpl w:val="CBA6178A"/>
    <w:lvl w:ilvl="0" w:tplc="982C47F2">
      <w:start w:val="1"/>
      <w:numFmt w:val="bullet"/>
      <w:lvlText w:val=""/>
      <w:lvlJc w:val="left"/>
      <w:pPr>
        <w:tabs>
          <w:tab w:val="num" w:pos="851"/>
        </w:tabs>
        <w:ind w:left="851"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2086821"/>
    <w:multiLevelType w:val="hybridMultilevel"/>
    <w:tmpl w:val="267821C2"/>
    <w:lvl w:ilvl="0" w:tplc="0809000F">
      <w:start w:val="1"/>
      <w:numFmt w:val="decimal"/>
      <w:lvlText w:val="%1."/>
      <w:lvlJc w:val="left"/>
      <w:pPr>
        <w:tabs>
          <w:tab w:val="num" w:pos="2190"/>
        </w:tabs>
        <w:ind w:left="2190" w:hanging="360"/>
      </w:pPr>
      <w:rPr>
        <w:rFonts w:cs="Times New Roman"/>
      </w:rPr>
    </w:lvl>
    <w:lvl w:ilvl="1" w:tplc="08090019">
      <w:start w:val="1"/>
      <w:numFmt w:val="decimal"/>
      <w:lvlText w:val="%2."/>
      <w:lvlJc w:val="left"/>
      <w:pPr>
        <w:tabs>
          <w:tab w:val="num" w:pos="2370"/>
        </w:tabs>
        <w:ind w:left="2370" w:hanging="360"/>
      </w:pPr>
      <w:rPr>
        <w:rFonts w:cs="Times New Roman"/>
      </w:rPr>
    </w:lvl>
    <w:lvl w:ilvl="2" w:tplc="0809001B">
      <w:start w:val="1"/>
      <w:numFmt w:val="decimal"/>
      <w:lvlText w:val="%3."/>
      <w:lvlJc w:val="left"/>
      <w:pPr>
        <w:tabs>
          <w:tab w:val="num" w:pos="3090"/>
        </w:tabs>
        <w:ind w:left="3090" w:hanging="360"/>
      </w:pPr>
      <w:rPr>
        <w:rFonts w:cs="Times New Roman"/>
      </w:rPr>
    </w:lvl>
    <w:lvl w:ilvl="3" w:tplc="0809000F">
      <w:start w:val="1"/>
      <w:numFmt w:val="decimal"/>
      <w:lvlText w:val="%4."/>
      <w:lvlJc w:val="left"/>
      <w:pPr>
        <w:tabs>
          <w:tab w:val="num" w:pos="3810"/>
        </w:tabs>
        <w:ind w:left="3810" w:hanging="360"/>
      </w:pPr>
      <w:rPr>
        <w:rFonts w:cs="Times New Roman"/>
      </w:rPr>
    </w:lvl>
    <w:lvl w:ilvl="4" w:tplc="08090019">
      <w:start w:val="1"/>
      <w:numFmt w:val="decimal"/>
      <w:lvlText w:val="%5."/>
      <w:lvlJc w:val="left"/>
      <w:pPr>
        <w:tabs>
          <w:tab w:val="num" w:pos="4530"/>
        </w:tabs>
        <w:ind w:left="4530" w:hanging="360"/>
      </w:pPr>
      <w:rPr>
        <w:rFonts w:cs="Times New Roman"/>
      </w:rPr>
    </w:lvl>
    <w:lvl w:ilvl="5" w:tplc="0809001B">
      <w:start w:val="1"/>
      <w:numFmt w:val="decimal"/>
      <w:lvlText w:val="%6."/>
      <w:lvlJc w:val="left"/>
      <w:pPr>
        <w:tabs>
          <w:tab w:val="num" w:pos="5250"/>
        </w:tabs>
        <w:ind w:left="5250" w:hanging="360"/>
      </w:pPr>
      <w:rPr>
        <w:rFonts w:cs="Times New Roman"/>
      </w:rPr>
    </w:lvl>
    <w:lvl w:ilvl="6" w:tplc="0809000F">
      <w:start w:val="1"/>
      <w:numFmt w:val="decimal"/>
      <w:lvlText w:val="%7."/>
      <w:lvlJc w:val="left"/>
      <w:pPr>
        <w:tabs>
          <w:tab w:val="num" w:pos="5970"/>
        </w:tabs>
        <w:ind w:left="5970" w:hanging="360"/>
      </w:pPr>
      <w:rPr>
        <w:rFonts w:cs="Times New Roman"/>
      </w:rPr>
    </w:lvl>
    <w:lvl w:ilvl="7" w:tplc="08090019">
      <w:start w:val="1"/>
      <w:numFmt w:val="decimal"/>
      <w:lvlText w:val="%8."/>
      <w:lvlJc w:val="left"/>
      <w:pPr>
        <w:tabs>
          <w:tab w:val="num" w:pos="6690"/>
        </w:tabs>
        <w:ind w:left="6690" w:hanging="360"/>
      </w:pPr>
      <w:rPr>
        <w:rFonts w:cs="Times New Roman"/>
      </w:rPr>
    </w:lvl>
    <w:lvl w:ilvl="8" w:tplc="0809001B">
      <w:start w:val="1"/>
      <w:numFmt w:val="decimal"/>
      <w:lvlText w:val="%9."/>
      <w:lvlJc w:val="left"/>
      <w:pPr>
        <w:tabs>
          <w:tab w:val="num" w:pos="7410"/>
        </w:tabs>
        <w:ind w:left="7410" w:hanging="360"/>
      </w:pPr>
      <w:rPr>
        <w:rFonts w:cs="Times New Roman"/>
      </w:rPr>
    </w:lvl>
  </w:abstractNum>
  <w:abstractNum w:abstractNumId="5">
    <w:nsid w:val="144122FE"/>
    <w:multiLevelType w:val="hybridMultilevel"/>
    <w:tmpl w:val="50C2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4029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5F92A5F"/>
    <w:multiLevelType w:val="hybridMultilevel"/>
    <w:tmpl w:val="50844518"/>
    <w:lvl w:ilvl="0" w:tplc="D90E8442">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16D04F5B"/>
    <w:multiLevelType w:val="multilevel"/>
    <w:tmpl w:val="572455D2"/>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9">
    <w:nsid w:val="1C8D7420"/>
    <w:multiLevelType w:val="multilevel"/>
    <w:tmpl w:val="50FEA4AE"/>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0">
    <w:nsid w:val="1E2C2D36"/>
    <w:multiLevelType w:val="hybridMultilevel"/>
    <w:tmpl w:val="7C5C545C"/>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95253F"/>
    <w:multiLevelType w:val="hybridMultilevel"/>
    <w:tmpl w:val="3D16CD48"/>
    <w:lvl w:ilvl="0" w:tplc="2892BFA4">
      <w:start w:val="1"/>
      <w:numFmt w:val="bullet"/>
      <w:lvlText w:val=""/>
      <w:lvlJc w:val="left"/>
      <w:pPr>
        <w:tabs>
          <w:tab w:val="num" w:pos="1211"/>
        </w:tabs>
        <w:ind w:left="1211" w:hanging="360"/>
      </w:pPr>
      <w:rPr>
        <w:rFonts w:ascii="Symbol" w:hAnsi="Symbol" w:hint="default"/>
        <w:b w:val="0"/>
        <w:i w:val="0"/>
        <w:sz w:val="20"/>
      </w:rPr>
    </w:lvl>
    <w:lvl w:ilvl="1" w:tplc="04090003">
      <w:start w:val="1"/>
      <w:numFmt w:val="bullet"/>
      <w:lvlText w:val="o"/>
      <w:lvlJc w:val="left"/>
      <w:pPr>
        <w:tabs>
          <w:tab w:val="num" w:pos="1080"/>
        </w:tabs>
        <w:ind w:left="1080" w:hanging="360"/>
      </w:pPr>
      <w:rPr>
        <w:rFonts w:ascii="Courier New" w:hAnsi="Courier New" w:hint="default"/>
      </w:rPr>
    </w:lvl>
    <w:lvl w:ilvl="2" w:tplc="FFE8EA2E">
      <w:start w:val="1"/>
      <w:numFmt w:val="bullet"/>
      <w:lvlText w:val=""/>
      <w:lvlJc w:val="left"/>
      <w:pPr>
        <w:tabs>
          <w:tab w:val="num" w:pos="1724"/>
        </w:tabs>
        <w:ind w:left="2007" w:hanging="567"/>
      </w:pPr>
      <w:rPr>
        <w:rFonts w:ascii="Symbol" w:hAnsi="Symbol" w:hint="default"/>
        <w:b w:val="0"/>
        <w:i w:val="0"/>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7DC54DD"/>
    <w:multiLevelType w:val="hybridMultilevel"/>
    <w:tmpl w:val="BF6AF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E33B0C"/>
    <w:multiLevelType w:val="hybridMultilevel"/>
    <w:tmpl w:val="B1F48A16"/>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14">
    <w:nsid w:val="305A2939"/>
    <w:multiLevelType w:val="hybridMultilevel"/>
    <w:tmpl w:val="3ED28CE6"/>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nsid w:val="31293341"/>
    <w:multiLevelType w:val="multilevel"/>
    <w:tmpl w:val="DFB8335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348B7EC0"/>
    <w:multiLevelType w:val="hybridMultilevel"/>
    <w:tmpl w:val="E3720DFE"/>
    <w:lvl w:ilvl="0" w:tplc="2892BFA4">
      <w:start w:val="1"/>
      <w:numFmt w:val="bullet"/>
      <w:lvlText w:val=""/>
      <w:lvlJc w:val="left"/>
      <w:pPr>
        <w:tabs>
          <w:tab w:val="num" w:pos="1211"/>
        </w:tabs>
        <w:ind w:left="1211" w:hanging="360"/>
      </w:pPr>
      <w:rPr>
        <w:rFonts w:ascii="Symbol" w:hAnsi="Symbol" w:hint="default"/>
        <w:b w:val="0"/>
        <w:i w:val="0"/>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A947F48"/>
    <w:multiLevelType w:val="multilevel"/>
    <w:tmpl w:val="AC327930"/>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b w:val="0"/>
        <w:i w:val="0"/>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8">
    <w:nsid w:val="3D6B6194"/>
    <w:multiLevelType w:val="hybridMultilevel"/>
    <w:tmpl w:val="51D6CE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5CC74D4"/>
    <w:multiLevelType w:val="hybridMultilevel"/>
    <w:tmpl w:val="44861B2A"/>
    <w:lvl w:ilvl="0" w:tplc="079AE45C">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02B40F5"/>
    <w:multiLevelType w:val="hybridMultilevel"/>
    <w:tmpl w:val="0CEE419A"/>
    <w:lvl w:ilvl="0" w:tplc="FFE8EA2E">
      <w:start w:val="1"/>
      <w:numFmt w:val="bullet"/>
      <w:lvlText w:val=""/>
      <w:lvlJc w:val="left"/>
      <w:pPr>
        <w:tabs>
          <w:tab w:val="num" w:pos="1072"/>
        </w:tabs>
        <w:ind w:left="1355" w:hanging="567"/>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1">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ind w:left="720" w:hanging="360"/>
      </w:pPr>
      <w:rPr>
        <w:rFonts w:ascii="Arial" w:hAnsi="Arial" w:cs="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541626B9"/>
    <w:multiLevelType w:val="multilevel"/>
    <w:tmpl w:val="E424C662"/>
    <w:lvl w:ilvl="0">
      <w:start w:val="1"/>
      <w:numFmt w:val="decimal"/>
      <w:lvlText w:val="%1."/>
      <w:lvlJc w:val="left"/>
      <w:pPr>
        <w:tabs>
          <w:tab w:val="num" w:pos="992"/>
        </w:tabs>
        <w:ind w:left="992" w:hanging="992"/>
      </w:pPr>
      <w:rPr>
        <w:rFonts w:cs="Times New Roman" w:hint="default"/>
        <w:sz w:val="28"/>
      </w:rPr>
    </w:lvl>
    <w:lvl w:ilvl="1">
      <w:start w:val="1"/>
      <w:numFmt w:val="decimal"/>
      <w:lvlText w:val="%1.%2."/>
      <w:lvlJc w:val="left"/>
      <w:pPr>
        <w:tabs>
          <w:tab w:val="num" w:pos="992"/>
        </w:tabs>
        <w:ind w:left="992" w:hanging="992"/>
      </w:pPr>
      <w:rPr>
        <w:rFonts w:cs="Times New Roman" w:hint="default"/>
        <w:b w:val="0"/>
        <w:i w:val="0"/>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3">
    <w:nsid w:val="5BAA617F"/>
    <w:multiLevelType w:val="multilevel"/>
    <w:tmpl w:val="A148F134"/>
    <w:lvl w:ilvl="0">
      <w:start w:val="1"/>
      <w:numFmt w:val="decimal"/>
      <w:lvlText w:val="%1."/>
      <w:lvlJc w:val="left"/>
      <w:pPr>
        <w:tabs>
          <w:tab w:val="num" w:pos="1080"/>
        </w:tabs>
        <w:ind w:left="1080" w:hanging="1080"/>
      </w:pPr>
      <w:rPr>
        <w:rFonts w:ascii="Arial Bold" w:hAnsi="Arial Bold" w:cs="Times New Roman" w:hint="default"/>
        <w:b/>
        <w:i w:val="0"/>
        <w:sz w:val="28"/>
        <w:u w:val="none"/>
      </w:rPr>
    </w:lvl>
    <w:lvl w:ilvl="1">
      <w:start w:val="1"/>
      <w:numFmt w:val="decimal"/>
      <w:isLgl/>
      <w:lvlText w:val="%1.%2"/>
      <w:lvlJc w:val="left"/>
      <w:pPr>
        <w:tabs>
          <w:tab w:val="num" w:pos="1080"/>
        </w:tabs>
        <w:ind w:left="1080" w:hanging="1080"/>
      </w:pPr>
      <w:rPr>
        <w:rFonts w:ascii="Arial" w:hAnsi="Arial" w:cs="Times New Roman" w:hint="default"/>
        <w:b w:val="0"/>
        <w:i w:val="0"/>
        <w:sz w:val="24"/>
        <w:u w:val="none"/>
      </w:rPr>
    </w:lvl>
    <w:lvl w:ilvl="2">
      <w:start w:val="1"/>
      <w:numFmt w:val="decimal"/>
      <w:isLgl/>
      <w:lvlText w:val="%1.%2.%3"/>
      <w:lvlJc w:val="left"/>
      <w:pPr>
        <w:tabs>
          <w:tab w:val="num" w:pos="1800"/>
        </w:tabs>
        <w:ind w:left="1800" w:hanging="1080"/>
      </w:pPr>
      <w:rPr>
        <w:rFonts w:cs="Times New Roman"/>
        <w:b w:val="0"/>
        <w:i w:val="0"/>
        <w:u w:val="none"/>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5F8364DD"/>
    <w:multiLevelType w:val="multilevel"/>
    <w:tmpl w:val="7E32A53A"/>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5">
    <w:nsid w:val="5FEB023C"/>
    <w:multiLevelType w:val="multilevel"/>
    <w:tmpl w:val="7E32A53A"/>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6">
    <w:nsid w:val="624F4311"/>
    <w:multiLevelType w:val="hybridMultilevel"/>
    <w:tmpl w:val="06A670FC"/>
    <w:lvl w:ilvl="0" w:tplc="0409000F">
      <w:start w:val="1"/>
      <w:numFmt w:val="decimal"/>
      <w:lvlText w:val="%1."/>
      <w:lvlJc w:val="left"/>
      <w:pPr>
        <w:tabs>
          <w:tab w:val="num" w:pos="360"/>
        </w:tabs>
        <w:ind w:left="360" w:hanging="360"/>
      </w:pPr>
      <w:rPr>
        <w:rFonts w:cs="Times New Roman"/>
      </w:rPr>
    </w:lvl>
    <w:lvl w:ilvl="1" w:tplc="B16853CC">
      <w:start w:val="5"/>
      <w:numFmt w:val="decimal"/>
      <w:lvlText w:val="%2"/>
      <w:lvlJc w:val="left"/>
      <w:pPr>
        <w:tabs>
          <w:tab w:val="num" w:pos="1080"/>
        </w:tabs>
        <w:ind w:left="1080" w:hanging="360"/>
      </w:pPr>
      <w:rPr>
        <w:rFonts w:cs="Times New Roman" w:hint="default"/>
      </w:rPr>
    </w:lvl>
    <w:lvl w:ilvl="2" w:tplc="0A70B65C">
      <w:start w:val="12"/>
      <w:numFmt w:val="bullet"/>
      <w:lvlText w:val="-"/>
      <w:lvlJc w:val="left"/>
      <w:pPr>
        <w:tabs>
          <w:tab w:val="num" w:pos="1980"/>
        </w:tabs>
        <w:ind w:left="1980" w:hanging="360"/>
      </w:pPr>
      <w:rPr>
        <w:rFonts w:ascii="Arial" w:eastAsia="Times New Roman" w:hAnsi="Aria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5DB5ADF"/>
    <w:multiLevelType w:val="hybridMultilevel"/>
    <w:tmpl w:val="B9663508"/>
    <w:lvl w:ilvl="0" w:tplc="E40AF530">
      <w:start w:val="1"/>
      <w:numFmt w:val="bullet"/>
      <w:lvlText w:val=""/>
      <w:lvlJc w:val="left"/>
      <w:pPr>
        <w:tabs>
          <w:tab w:val="num" w:pos="851"/>
        </w:tabs>
        <w:ind w:left="851"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9C44898"/>
    <w:multiLevelType w:val="hybridMultilevel"/>
    <w:tmpl w:val="7E32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D11DB2"/>
    <w:multiLevelType w:val="hybridMultilevel"/>
    <w:tmpl w:val="4836C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6E6F25"/>
    <w:multiLevelType w:val="multilevel"/>
    <w:tmpl w:val="E3720DFE"/>
    <w:lvl w:ilvl="0">
      <w:start w:val="1"/>
      <w:numFmt w:val="bullet"/>
      <w:lvlText w:val=""/>
      <w:lvlJc w:val="left"/>
      <w:pPr>
        <w:tabs>
          <w:tab w:val="num" w:pos="1211"/>
        </w:tabs>
        <w:ind w:left="1211" w:hanging="360"/>
      </w:pPr>
      <w:rPr>
        <w:rFonts w:ascii="Symbol" w:hAnsi="Symbol" w:hint="default"/>
        <w:b w:val="0"/>
        <w:i w:val="0"/>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1D122D2"/>
    <w:multiLevelType w:val="multilevel"/>
    <w:tmpl w:val="A148F134"/>
    <w:lvl w:ilvl="0">
      <w:start w:val="1"/>
      <w:numFmt w:val="decimal"/>
      <w:lvlText w:val="%1."/>
      <w:lvlJc w:val="left"/>
      <w:pPr>
        <w:tabs>
          <w:tab w:val="num" w:pos="1080"/>
        </w:tabs>
        <w:ind w:left="1080" w:hanging="1080"/>
      </w:pPr>
      <w:rPr>
        <w:rFonts w:ascii="Arial Bold" w:hAnsi="Arial Bold" w:cs="Times New Roman" w:hint="default"/>
        <w:b/>
        <w:i w:val="0"/>
        <w:sz w:val="28"/>
        <w:u w:val="none"/>
      </w:rPr>
    </w:lvl>
    <w:lvl w:ilvl="1">
      <w:start w:val="1"/>
      <w:numFmt w:val="decimal"/>
      <w:isLgl/>
      <w:lvlText w:val="%1.%2"/>
      <w:lvlJc w:val="left"/>
      <w:pPr>
        <w:tabs>
          <w:tab w:val="num" w:pos="1080"/>
        </w:tabs>
        <w:ind w:left="1080" w:hanging="1080"/>
      </w:pPr>
      <w:rPr>
        <w:rFonts w:ascii="Arial" w:hAnsi="Arial" w:cs="Times New Roman" w:hint="default"/>
        <w:b w:val="0"/>
        <w:i w:val="0"/>
        <w:sz w:val="24"/>
        <w:u w:val="none"/>
      </w:rPr>
    </w:lvl>
    <w:lvl w:ilvl="2">
      <w:start w:val="1"/>
      <w:numFmt w:val="decimal"/>
      <w:isLgl/>
      <w:lvlText w:val="%1.%2.%3"/>
      <w:lvlJc w:val="left"/>
      <w:pPr>
        <w:tabs>
          <w:tab w:val="num" w:pos="1800"/>
        </w:tabs>
        <w:ind w:left="1800" w:hanging="1080"/>
      </w:pPr>
      <w:rPr>
        <w:rFonts w:cs="Times New Roman"/>
        <w:b w:val="0"/>
        <w:i w:val="0"/>
        <w:u w:val="none"/>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E98617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2"/>
  </w:num>
  <w:num w:numId="3">
    <w:abstractNumId w:val="20"/>
  </w:num>
  <w:num w:numId="4">
    <w:abstractNumId w:val="16"/>
  </w:num>
  <w:num w:numId="5">
    <w:abstractNumId w:val="8"/>
  </w:num>
  <w:num w:numId="6">
    <w:abstractNumId w:val="9"/>
  </w:num>
  <w:num w:numId="7">
    <w:abstractNumId w:val="25"/>
  </w:num>
  <w:num w:numId="8">
    <w:abstractNumId w:val="30"/>
  </w:num>
  <w:num w:numId="9">
    <w:abstractNumId w:val="11"/>
  </w:num>
  <w:num w:numId="10">
    <w:abstractNumId w:val="10"/>
  </w:num>
  <w:num w:numId="11">
    <w:abstractNumId w:val="7"/>
  </w:num>
  <w:num w:numId="12">
    <w:abstractNumId w:val="29"/>
  </w:num>
  <w:num w:numId="13">
    <w:abstractNumId w:val="18"/>
  </w:num>
  <w:num w:numId="14">
    <w:abstractNumId w:val="26"/>
  </w:num>
  <w:num w:numId="15">
    <w:abstractNumId w:val="27"/>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0"/>
  </w:num>
  <w:num w:numId="21">
    <w:abstractNumId w:val="24"/>
  </w:num>
  <w:num w:numId="22">
    <w:abstractNumId w:val="23"/>
  </w:num>
  <w:num w:numId="23">
    <w:abstractNumId w:val="22"/>
  </w:num>
  <w:num w:numId="24">
    <w:abstractNumId w:val="15"/>
  </w:num>
  <w:num w:numId="25">
    <w:abstractNumId w:val="31"/>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5"/>
  </w:num>
  <w:num w:numId="3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1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52528"/>
    <w:rsid w:val="00002749"/>
    <w:rsid w:val="0000359F"/>
    <w:rsid w:val="0000484D"/>
    <w:rsid w:val="000054B4"/>
    <w:rsid w:val="00005D84"/>
    <w:rsid w:val="00005DC3"/>
    <w:rsid w:val="00011F56"/>
    <w:rsid w:val="00015CC6"/>
    <w:rsid w:val="000166B0"/>
    <w:rsid w:val="00016F8E"/>
    <w:rsid w:val="00041211"/>
    <w:rsid w:val="00045C98"/>
    <w:rsid w:val="00047BC1"/>
    <w:rsid w:val="00050EFF"/>
    <w:rsid w:val="00052E61"/>
    <w:rsid w:val="00071906"/>
    <w:rsid w:val="000719AB"/>
    <w:rsid w:val="00072DCB"/>
    <w:rsid w:val="000760DA"/>
    <w:rsid w:val="000763B2"/>
    <w:rsid w:val="000819D5"/>
    <w:rsid w:val="000A40AC"/>
    <w:rsid w:val="000B4BE4"/>
    <w:rsid w:val="000B5BD2"/>
    <w:rsid w:val="000D1BA0"/>
    <w:rsid w:val="000D2FAC"/>
    <w:rsid w:val="000D57DD"/>
    <w:rsid w:val="000D5FD3"/>
    <w:rsid w:val="000E1F16"/>
    <w:rsid w:val="000E328B"/>
    <w:rsid w:val="000E6F7D"/>
    <w:rsid w:val="000E7636"/>
    <w:rsid w:val="000F22CC"/>
    <w:rsid w:val="000F2F59"/>
    <w:rsid w:val="000F3ABD"/>
    <w:rsid w:val="000F69AA"/>
    <w:rsid w:val="0011248D"/>
    <w:rsid w:val="00114312"/>
    <w:rsid w:val="00114B7E"/>
    <w:rsid w:val="00124F5B"/>
    <w:rsid w:val="00126D12"/>
    <w:rsid w:val="00131679"/>
    <w:rsid w:val="0014138F"/>
    <w:rsid w:val="00144925"/>
    <w:rsid w:val="00150677"/>
    <w:rsid w:val="00151F2D"/>
    <w:rsid w:val="00154CB6"/>
    <w:rsid w:val="0016182A"/>
    <w:rsid w:val="001645DA"/>
    <w:rsid w:val="00165749"/>
    <w:rsid w:val="0016667C"/>
    <w:rsid w:val="0017466F"/>
    <w:rsid w:val="001917BF"/>
    <w:rsid w:val="001971A6"/>
    <w:rsid w:val="001A0118"/>
    <w:rsid w:val="001A54B1"/>
    <w:rsid w:val="001A685F"/>
    <w:rsid w:val="001A7BC4"/>
    <w:rsid w:val="001B4C2A"/>
    <w:rsid w:val="001B5267"/>
    <w:rsid w:val="001B62E2"/>
    <w:rsid w:val="001B73BE"/>
    <w:rsid w:val="001C6742"/>
    <w:rsid w:val="001D0B17"/>
    <w:rsid w:val="001D22ED"/>
    <w:rsid w:val="001D4495"/>
    <w:rsid w:val="001D5C95"/>
    <w:rsid w:val="001D6E46"/>
    <w:rsid w:val="001D7946"/>
    <w:rsid w:val="001E0989"/>
    <w:rsid w:val="001E21D3"/>
    <w:rsid w:val="001E24FE"/>
    <w:rsid w:val="001E3304"/>
    <w:rsid w:val="001E59A6"/>
    <w:rsid w:val="001E708E"/>
    <w:rsid w:val="001F23BB"/>
    <w:rsid w:val="001F24F8"/>
    <w:rsid w:val="002000D8"/>
    <w:rsid w:val="002009E0"/>
    <w:rsid w:val="00206D63"/>
    <w:rsid w:val="00206D9E"/>
    <w:rsid w:val="00210C25"/>
    <w:rsid w:val="002114FB"/>
    <w:rsid w:val="00211500"/>
    <w:rsid w:val="00211AFC"/>
    <w:rsid w:val="00211EB4"/>
    <w:rsid w:val="0022232E"/>
    <w:rsid w:val="002225C1"/>
    <w:rsid w:val="0022319C"/>
    <w:rsid w:val="00224354"/>
    <w:rsid w:val="00224D9F"/>
    <w:rsid w:val="00226B7D"/>
    <w:rsid w:val="002308BA"/>
    <w:rsid w:val="00231298"/>
    <w:rsid w:val="0023627F"/>
    <w:rsid w:val="00241757"/>
    <w:rsid w:val="00243249"/>
    <w:rsid w:val="002604F6"/>
    <w:rsid w:val="002642A0"/>
    <w:rsid w:val="002649B4"/>
    <w:rsid w:val="00264E25"/>
    <w:rsid w:val="00265450"/>
    <w:rsid w:val="00282D28"/>
    <w:rsid w:val="00284D70"/>
    <w:rsid w:val="002A0475"/>
    <w:rsid w:val="002A1FBF"/>
    <w:rsid w:val="002A56E8"/>
    <w:rsid w:val="002A75C9"/>
    <w:rsid w:val="002C2222"/>
    <w:rsid w:val="002C300B"/>
    <w:rsid w:val="002C7E3F"/>
    <w:rsid w:val="002D3379"/>
    <w:rsid w:val="002D73EB"/>
    <w:rsid w:val="002D7892"/>
    <w:rsid w:val="002E257E"/>
    <w:rsid w:val="002E69DB"/>
    <w:rsid w:val="002F32C5"/>
    <w:rsid w:val="002F3DF0"/>
    <w:rsid w:val="002F4E07"/>
    <w:rsid w:val="00302587"/>
    <w:rsid w:val="00304C44"/>
    <w:rsid w:val="003060AE"/>
    <w:rsid w:val="0031090F"/>
    <w:rsid w:val="0031379B"/>
    <w:rsid w:val="00316AC5"/>
    <w:rsid w:val="00323176"/>
    <w:rsid w:val="003358C9"/>
    <w:rsid w:val="00337775"/>
    <w:rsid w:val="0034071A"/>
    <w:rsid w:val="00341115"/>
    <w:rsid w:val="00342511"/>
    <w:rsid w:val="003428F8"/>
    <w:rsid w:val="003434CE"/>
    <w:rsid w:val="00344000"/>
    <w:rsid w:val="00344BD8"/>
    <w:rsid w:val="00353069"/>
    <w:rsid w:val="00354889"/>
    <w:rsid w:val="003616C2"/>
    <w:rsid w:val="00366DF0"/>
    <w:rsid w:val="003702D6"/>
    <w:rsid w:val="00371B82"/>
    <w:rsid w:val="003725B1"/>
    <w:rsid w:val="0038685D"/>
    <w:rsid w:val="00386CFC"/>
    <w:rsid w:val="00391DDA"/>
    <w:rsid w:val="00393FAB"/>
    <w:rsid w:val="0039772A"/>
    <w:rsid w:val="003A17BB"/>
    <w:rsid w:val="003A369A"/>
    <w:rsid w:val="003A385C"/>
    <w:rsid w:val="003A7C76"/>
    <w:rsid w:val="003B0606"/>
    <w:rsid w:val="003B08EC"/>
    <w:rsid w:val="003B6746"/>
    <w:rsid w:val="003B6B97"/>
    <w:rsid w:val="003C3523"/>
    <w:rsid w:val="003C49AB"/>
    <w:rsid w:val="003C75E0"/>
    <w:rsid w:val="003D010C"/>
    <w:rsid w:val="003D08E7"/>
    <w:rsid w:val="003D201F"/>
    <w:rsid w:val="003D716D"/>
    <w:rsid w:val="003D79E0"/>
    <w:rsid w:val="003E0533"/>
    <w:rsid w:val="003E284D"/>
    <w:rsid w:val="003E32E6"/>
    <w:rsid w:val="003E4AD8"/>
    <w:rsid w:val="003E65D4"/>
    <w:rsid w:val="003F558F"/>
    <w:rsid w:val="003F5BC1"/>
    <w:rsid w:val="003F6F8C"/>
    <w:rsid w:val="00410B1D"/>
    <w:rsid w:val="00413241"/>
    <w:rsid w:val="00420C32"/>
    <w:rsid w:val="0042385F"/>
    <w:rsid w:val="00427958"/>
    <w:rsid w:val="00431232"/>
    <w:rsid w:val="0043162A"/>
    <w:rsid w:val="004343FF"/>
    <w:rsid w:val="00452528"/>
    <w:rsid w:val="00460ADF"/>
    <w:rsid w:val="004636A1"/>
    <w:rsid w:val="00464DC9"/>
    <w:rsid w:val="00464ED6"/>
    <w:rsid w:val="004677C3"/>
    <w:rsid w:val="0047092A"/>
    <w:rsid w:val="0047102E"/>
    <w:rsid w:val="004726D4"/>
    <w:rsid w:val="00474BA3"/>
    <w:rsid w:val="00475BA4"/>
    <w:rsid w:val="00476FD8"/>
    <w:rsid w:val="00481184"/>
    <w:rsid w:val="004826F8"/>
    <w:rsid w:val="0048386C"/>
    <w:rsid w:val="00484400"/>
    <w:rsid w:val="00486673"/>
    <w:rsid w:val="00487C0B"/>
    <w:rsid w:val="00490541"/>
    <w:rsid w:val="004927C4"/>
    <w:rsid w:val="004A5876"/>
    <w:rsid w:val="004B20AE"/>
    <w:rsid w:val="004B75DF"/>
    <w:rsid w:val="004C0B3C"/>
    <w:rsid w:val="004C1983"/>
    <w:rsid w:val="004C5D53"/>
    <w:rsid w:val="004C736F"/>
    <w:rsid w:val="004D065D"/>
    <w:rsid w:val="004D0AD5"/>
    <w:rsid w:val="004D6A45"/>
    <w:rsid w:val="004E212C"/>
    <w:rsid w:val="004E4385"/>
    <w:rsid w:val="004E5B1D"/>
    <w:rsid w:val="004E7268"/>
    <w:rsid w:val="004E791C"/>
    <w:rsid w:val="004F0293"/>
    <w:rsid w:val="004F2280"/>
    <w:rsid w:val="004F260E"/>
    <w:rsid w:val="00501ECD"/>
    <w:rsid w:val="00507E5F"/>
    <w:rsid w:val="00511DC5"/>
    <w:rsid w:val="0052176E"/>
    <w:rsid w:val="00524C62"/>
    <w:rsid w:val="005264BB"/>
    <w:rsid w:val="00527B74"/>
    <w:rsid w:val="0053018E"/>
    <w:rsid w:val="005347E6"/>
    <w:rsid w:val="00544EB2"/>
    <w:rsid w:val="0055388E"/>
    <w:rsid w:val="00554D20"/>
    <w:rsid w:val="00560D75"/>
    <w:rsid w:val="005670F5"/>
    <w:rsid w:val="00573D13"/>
    <w:rsid w:val="00577225"/>
    <w:rsid w:val="00584B82"/>
    <w:rsid w:val="00584C80"/>
    <w:rsid w:val="005862C4"/>
    <w:rsid w:val="0058666B"/>
    <w:rsid w:val="005A3AC8"/>
    <w:rsid w:val="005B0D85"/>
    <w:rsid w:val="005B329A"/>
    <w:rsid w:val="005B7A89"/>
    <w:rsid w:val="005C2134"/>
    <w:rsid w:val="005C2FE7"/>
    <w:rsid w:val="005C4ACE"/>
    <w:rsid w:val="005D39C3"/>
    <w:rsid w:val="005D5614"/>
    <w:rsid w:val="005D6970"/>
    <w:rsid w:val="005D71F5"/>
    <w:rsid w:val="005D758D"/>
    <w:rsid w:val="005E08D1"/>
    <w:rsid w:val="005F10F7"/>
    <w:rsid w:val="005F1D86"/>
    <w:rsid w:val="005F3631"/>
    <w:rsid w:val="005F6D4B"/>
    <w:rsid w:val="00600C34"/>
    <w:rsid w:val="00611B33"/>
    <w:rsid w:val="00612B13"/>
    <w:rsid w:val="0061585F"/>
    <w:rsid w:val="00620433"/>
    <w:rsid w:val="00632C17"/>
    <w:rsid w:val="006335AC"/>
    <w:rsid w:val="0063673E"/>
    <w:rsid w:val="0064085C"/>
    <w:rsid w:val="00641578"/>
    <w:rsid w:val="0064511A"/>
    <w:rsid w:val="00647D31"/>
    <w:rsid w:val="0065702E"/>
    <w:rsid w:val="00657641"/>
    <w:rsid w:val="006610B7"/>
    <w:rsid w:val="006618DB"/>
    <w:rsid w:val="0066352F"/>
    <w:rsid w:val="0066422B"/>
    <w:rsid w:val="00664B93"/>
    <w:rsid w:val="00666532"/>
    <w:rsid w:val="006668B6"/>
    <w:rsid w:val="00670B39"/>
    <w:rsid w:val="006723C1"/>
    <w:rsid w:val="00681FDC"/>
    <w:rsid w:val="0068361A"/>
    <w:rsid w:val="0069088D"/>
    <w:rsid w:val="00691EA1"/>
    <w:rsid w:val="00693E93"/>
    <w:rsid w:val="0069565C"/>
    <w:rsid w:val="00695A08"/>
    <w:rsid w:val="0069656D"/>
    <w:rsid w:val="006A2022"/>
    <w:rsid w:val="006A3106"/>
    <w:rsid w:val="006A41CB"/>
    <w:rsid w:val="006A62CA"/>
    <w:rsid w:val="006A6F89"/>
    <w:rsid w:val="006B0645"/>
    <w:rsid w:val="006D7DA2"/>
    <w:rsid w:val="006E2F61"/>
    <w:rsid w:val="006E3652"/>
    <w:rsid w:val="006F7BCE"/>
    <w:rsid w:val="00701E0C"/>
    <w:rsid w:val="00703A61"/>
    <w:rsid w:val="0070549F"/>
    <w:rsid w:val="00706F6A"/>
    <w:rsid w:val="0071707E"/>
    <w:rsid w:val="0072158B"/>
    <w:rsid w:val="00723796"/>
    <w:rsid w:val="00730EC1"/>
    <w:rsid w:val="0073200D"/>
    <w:rsid w:val="00744F6D"/>
    <w:rsid w:val="00745453"/>
    <w:rsid w:val="00746CA2"/>
    <w:rsid w:val="00754FAA"/>
    <w:rsid w:val="0076293B"/>
    <w:rsid w:val="0076639A"/>
    <w:rsid w:val="00770B1A"/>
    <w:rsid w:val="00780F00"/>
    <w:rsid w:val="0079090B"/>
    <w:rsid w:val="00790B3F"/>
    <w:rsid w:val="0079189C"/>
    <w:rsid w:val="00794ED7"/>
    <w:rsid w:val="00795AFF"/>
    <w:rsid w:val="007A23CB"/>
    <w:rsid w:val="007A68B7"/>
    <w:rsid w:val="007B0161"/>
    <w:rsid w:val="007B1420"/>
    <w:rsid w:val="007B5250"/>
    <w:rsid w:val="007B6B4C"/>
    <w:rsid w:val="007D3969"/>
    <w:rsid w:val="007E2090"/>
    <w:rsid w:val="007E2381"/>
    <w:rsid w:val="007E7F55"/>
    <w:rsid w:val="007F2854"/>
    <w:rsid w:val="007F4EF3"/>
    <w:rsid w:val="007F696B"/>
    <w:rsid w:val="0080425A"/>
    <w:rsid w:val="00805013"/>
    <w:rsid w:val="0080653B"/>
    <w:rsid w:val="00812EF4"/>
    <w:rsid w:val="00814D83"/>
    <w:rsid w:val="008168A9"/>
    <w:rsid w:val="00822ADA"/>
    <w:rsid w:val="00822E6B"/>
    <w:rsid w:val="00823B96"/>
    <w:rsid w:val="00823FBC"/>
    <w:rsid w:val="0083173D"/>
    <w:rsid w:val="008354E7"/>
    <w:rsid w:val="00840E7A"/>
    <w:rsid w:val="00843077"/>
    <w:rsid w:val="008572CD"/>
    <w:rsid w:val="0086122B"/>
    <w:rsid w:val="008652A5"/>
    <w:rsid w:val="008735E3"/>
    <w:rsid w:val="008816D0"/>
    <w:rsid w:val="00883B19"/>
    <w:rsid w:val="00883E6F"/>
    <w:rsid w:val="0088600B"/>
    <w:rsid w:val="00891021"/>
    <w:rsid w:val="008945A3"/>
    <w:rsid w:val="008A1D5D"/>
    <w:rsid w:val="008A4F16"/>
    <w:rsid w:val="008B4957"/>
    <w:rsid w:val="008B6737"/>
    <w:rsid w:val="008B76E0"/>
    <w:rsid w:val="008C0552"/>
    <w:rsid w:val="008C0CDE"/>
    <w:rsid w:val="008C27EE"/>
    <w:rsid w:val="008C2BAF"/>
    <w:rsid w:val="008D378B"/>
    <w:rsid w:val="008D521E"/>
    <w:rsid w:val="008E0CE6"/>
    <w:rsid w:val="008E279B"/>
    <w:rsid w:val="008E62BA"/>
    <w:rsid w:val="008F1038"/>
    <w:rsid w:val="008F1D7B"/>
    <w:rsid w:val="008F4BAC"/>
    <w:rsid w:val="00917690"/>
    <w:rsid w:val="00920A86"/>
    <w:rsid w:val="00924507"/>
    <w:rsid w:val="0093280C"/>
    <w:rsid w:val="0093349C"/>
    <w:rsid w:val="00933813"/>
    <w:rsid w:val="009369AB"/>
    <w:rsid w:val="009424D4"/>
    <w:rsid w:val="00943678"/>
    <w:rsid w:val="009517B4"/>
    <w:rsid w:val="00954BFE"/>
    <w:rsid w:val="00955056"/>
    <w:rsid w:val="00957947"/>
    <w:rsid w:val="009617EB"/>
    <w:rsid w:val="00972EC2"/>
    <w:rsid w:val="00980ABC"/>
    <w:rsid w:val="00984887"/>
    <w:rsid w:val="009A0668"/>
    <w:rsid w:val="009B4352"/>
    <w:rsid w:val="009B4942"/>
    <w:rsid w:val="009B562E"/>
    <w:rsid w:val="009C2103"/>
    <w:rsid w:val="009C225C"/>
    <w:rsid w:val="009C5191"/>
    <w:rsid w:val="009C7765"/>
    <w:rsid w:val="009D0ABB"/>
    <w:rsid w:val="009D1DC9"/>
    <w:rsid w:val="009D2B22"/>
    <w:rsid w:val="009D3E31"/>
    <w:rsid w:val="009D442E"/>
    <w:rsid w:val="009E48B0"/>
    <w:rsid w:val="009E780F"/>
    <w:rsid w:val="009F132D"/>
    <w:rsid w:val="009F36B3"/>
    <w:rsid w:val="009F386E"/>
    <w:rsid w:val="009F4A23"/>
    <w:rsid w:val="00A02239"/>
    <w:rsid w:val="00A053D5"/>
    <w:rsid w:val="00A07655"/>
    <w:rsid w:val="00A1267B"/>
    <w:rsid w:val="00A12AE6"/>
    <w:rsid w:val="00A14071"/>
    <w:rsid w:val="00A22257"/>
    <w:rsid w:val="00A26D27"/>
    <w:rsid w:val="00A3022F"/>
    <w:rsid w:val="00A30F79"/>
    <w:rsid w:val="00A31CD6"/>
    <w:rsid w:val="00A325E3"/>
    <w:rsid w:val="00A32965"/>
    <w:rsid w:val="00A33146"/>
    <w:rsid w:val="00A33F4B"/>
    <w:rsid w:val="00A40FBA"/>
    <w:rsid w:val="00A422CB"/>
    <w:rsid w:val="00A42846"/>
    <w:rsid w:val="00A441E6"/>
    <w:rsid w:val="00A54A80"/>
    <w:rsid w:val="00A5548F"/>
    <w:rsid w:val="00A60E3D"/>
    <w:rsid w:val="00A64070"/>
    <w:rsid w:val="00A66B7D"/>
    <w:rsid w:val="00A67935"/>
    <w:rsid w:val="00A76DCA"/>
    <w:rsid w:val="00A7795F"/>
    <w:rsid w:val="00A86746"/>
    <w:rsid w:val="00A86A55"/>
    <w:rsid w:val="00A95038"/>
    <w:rsid w:val="00AA0527"/>
    <w:rsid w:val="00AB0AA6"/>
    <w:rsid w:val="00AB269B"/>
    <w:rsid w:val="00AB6D58"/>
    <w:rsid w:val="00AB6E4B"/>
    <w:rsid w:val="00AC417D"/>
    <w:rsid w:val="00AC4240"/>
    <w:rsid w:val="00AC4688"/>
    <w:rsid w:val="00AC756E"/>
    <w:rsid w:val="00AD24F5"/>
    <w:rsid w:val="00AD3817"/>
    <w:rsid w:val="00AE4BB8"/>
    <w:rsid w:val="00AE5374"/>
    <w:rsid w:val="00AE5D14"/>
    <w:rsid w:val="00AF15EA"/>
    <w:rsid w:val="00AF1AE1"/>
    <w:rsid w:val="00AF43EE"/>
    <w:rsid w:val="00AF4576"/>
    <w:rsid w:val="00B0454E"/>
    <w:rsid w:val="00B051CC"/>
    <w:rsid w:val="00B06DA7"/>
    <w:rsid w:val="00B0732D"/>
    <w:rsid w:val="00B144F3"/>
    <w:rsid w:val="00B20024"/>
    <w:rsid w:val="00B22BAC"/>
    <w:rsid w:val="00B31319"/>
    <w:rsid w:val="00B319C7"/>
    <w:rsid w:val="00B352E1"/>
    <w:rsid w:val="00B36660"/>
    <w:rsid w:val="00B42F57"/>
    <w:rsid w:val="00B43553"/>
    <w:rsid w:val="00B53536"/>
    <w:rsid w:val="00B56FA7"/>
    <w:rsid w:val="00B57149"/>
    <w:rsid w:val="00B614EE"/>
    <w:rsid w:val="00B63296"/>
    <w:rsid w:val="00B668BA"/>
    <w:rsid w:val="00B67898"/>
    <w:rsid w:val="00B82AE1"/>
    <w:rsid w:val="00B82EF2"/>
    <w:rsid w:val="00B850E6"/>
    <w:rsid w:val="00B8626D"/>
    <w:rsid w:val="00B87DA1"/>
    <w:rsid w:val="00B90171"/>
    <w:rsid w:val="00B90BAC"/>
    <w:rsid w:val="00B9152B"/>
    <w:rsid w:val="00BA0A49"/>
    <w:rsid w:val="00BA2C12"/>
    <w:rsid w:val="00BA7A38"/>
    <w:rsid w:val="00BB107D"/>
    <w:rsid w:val="00BB7DE5"/>
    <w:rsid w:val="00BC04C1"/>
    <w:rsid w:val="00BC516F"/>
    <w:rsid w:val="00BC51B6"/>
    <w:rsid w:val="00BC7687"/>
    <w:rsid w:val="00BD09C6"/>
    <w:rsid w:val="00BD2240"/>
    <w:rsid w:val="00BD63CA"/>
    <w:rsid w:val="00BD695B"/>
    <w:rsid w:val="00BE338D"/>
    <w:rsid w:val="00BE583E"/>
    <w:rsid w:val="00BE5D73"/>
    <w:rsid w:val="00BE62B0"/>
    <w:rsid w:val="00BE7729"/>
    <w:rsid w:val="00BF1C6D"/>
    <w:rsid w:val="00BF2F28"/>
    <w:rsid w:val="00BF3D44"/>
    <w:rsid w:val="00BF4E76"/>
    <w:rsid w:val="00BF6425"/>
    <w:rsid w:val="00C04EE9"/>
    <w:rsid w:val="00C20B68"/>
    <w:rsid w:val="00C21B85"/>
    <w:rsid w:val="00C26651"/>
    <w:rsid w:val="00C32C65"/>
    <w:rsid w:val="00C33B8F"/>
    <w:rsid w:val="00C47B5D"/>
    <w:rsid w:val="00C5008E"/>
    <w:rsid w:val="00C53F9F"/>
    <w:rsid w:val="00C55B8F"/>
    <w:rsid w:val="00C57984"/>
    <w:rsid w:val="00C57A17"/>
    <w:rsid w:val="00C57D9C"/>
    <w:rsid w:val="00C63E7D"/>
    <w:rsid w:val="00C66195"/>
    <w:rsid w:val="00C758F9"/>
    <w:rsid w:val="00C802C5"/>
    <w:rsid w:val="00C83808"/>
    <w:rsid w:val="00C877C9"/>
    <w:rsid w:val="00C91F2D"/>
    <w:rsid w:val="00C93C82"/>
    <w:rsid w:val="00CB33BA"/>
    <w:rsid w:val="00CB4838"/>
    <w:rsid w:val="00CB4992"/>
    <w:rsid w:val="00CB7FB2"/>
    <w:rsid w:val="00CC33B6"/>
    <w:rsid w:val="00CC50DC"/>
    <w:rsid w:val="00CD1B4E"/>
    <w:rsid w:val="00CD31BA"/>
    <w:rsid w:val="00CD3764"/>
    <w:rsid w:val="00CD7669"/>
    <w:rsid w:val="00CE39B6"/>
    <w:rsid w:val="00CE6BD7"/>
    <w:rsid w:val="00CF13ED"/>
    <w:rsid w:val="00D11ACD"/>
    <w:rsid w:val="00D1373A"/>
    <w:rsid w:val="00D15173"/>
    <w:rsid w:val="00D15209"/>
    <w:rsid w:val="00D16852"/>
    <w:rsid w:val="00D16B3D"/>
    <w:rsid w:val="00D1756B"/>
    <w:rsid w:val="00D22100"/>
    <w:rsid w:val="00D22CE8"/>
    <w:rsid w:val="00D24E93"/>
    <w:rsid w:val="00D31513"/>
    <w:rsid w:val="00D32D61"/>
    <w:rsid w:val="00D3435D"/>
    <w:rsid w:val="00D35504"/>
    <w:rsid w:val="00D433C0"/>
    <w:rsid w:val="00D46E7F"/>
    <w:rsid w:val="00D51851"/>
    <w:rsid w:val="00D577DF"/>
    <w:rsid w:val="00D626F3"/>
    <w:rsid w:val="00D62B8D"/>
    <w:rsid w:val="00D66BFA"/>
    <w:rsid w:val="00D731D5"/>
    <w:rsid w:val="00D77E7B"/>
    <w:rsid w:val="00D80AD7"/>
    <w:rsid w:val="00D82EE3"/>
    <w:rsid w:val="00D834AE"/>
    <w:rsid w:val="00D85B04"/>
    <w:rsid w:val="00D87B3F"/>
    <w:rsid w:val="00D97C3A"/>
    <w:rsid w:val="00D97EB1"/>
    <w:rsid w:val="00DB0463"/>
    <w:rsid w:val="00DB2771"/>
    <w:rsid w:val="00DB33F4"/>
    <w:rsid w:val="00DC02F3"/>
    <w:rsid w:val="00DC12D9"/>
    <w:rsid w:val="00DC5D76"/>
    <w:rsid w:val="00DC62AC"/>
    <w:rsid w:val="00DC7514"/>
    <w:rsid w:val="00DC7AB6"/>
    <w:rsid w:val="00DD1100"/>
    <w:rsid w:val="00DD6539"/>
    <w:rsid w:val="00DE3A10"/>
    <w:rsid w:val="00DF18E2"/>
    <w:rsid w:val="00DF2004"/>
    <w:rsid w:val="00DF20C9"/>
    <w:rsid w:val="00DF4B47"/>
    <w:rsid w:val="00E023FF"/>
    <w:rsid w:val="00E03CDB"/>
    <w:rsid w:val="00E04BC1"/>
    <w:rsid w:val="00E05021"/>
    <w:rsid w:val="00E10D69"/>
    <w:rsid w:val="00E125A9"/>
    <w:rsid w:val="00E13648"/>
    <w:rsid w:val="00E13D52"/>
    <w:rsid w:val="00E14CA2"/>
    <w:rsid w:val="00E171FF"/>
    <w:rsid w:val="00E20C4B"/>
    <w:rsid w:val="00E21716"/>
    <w:rsid w:val="00E21978"/>
    <w:rsid w:val="00E31C64"/>
    <w:rsid w:val="00E35240"/>
    <w:rsid w:val="00E414A5"/>
    <w:rsid w:val="00E417E1"/>
    <w:rsid w:val="00E57DA0"/>
    <w:rsid w:val="00E629A0"/>
    <w:rsid w:val="00E66133"/>
    <w:rsid w:val="00E71CE0"/>
    <w:rsid w:val="00E7522D"/>
    <w:rsid w:val="00E77D20"/>
    <w:rsid w:val="00E86449"/>
    <w:rsid w:val="00E86F10"/>
    <w:rsid w:val="00E874E4"/>
    <w:rsid w:val="00E87AEB"/>
    <w:rsid w:val="00E9034A"/>
    <w:rsid w:val="00E919EC"/>
    <w:rsid w:val="00EA3D5D"/>
    <w:rsid w:val="00EB04DA"/>
    <w:rsid w:val="00EB1D49"/>
    <w:rsid w:val="00EB58DD"/>
    <w:rsid w:val="00EB73CD"/>
    <w:rsid w:val="00EB7B65"/>
    <w:rsid w:val="00EC64B3"/>
    <w:rsid w:val="00EC693B"/>
    <w:rsid w:val="00ED0014"/>
    <w:rsid w:val="00ED5F55"/>
    <w:rsid w:val="00EE0281"/>
    <w:rsid w:val="00EF1E96"/>
    <w:rsid w:val="00EF4B63"/>
    <w:rsid w:val="00EF69CA"/>
    <w:rsid w:val="00EF6B17"/>
    <w:rsid w:val="00F121E0"/>
    <w:rsid w:val="00F217BA"/>
    <w:rsid w:val="00F31839"/>
    <w:rsid w:val="00F44C10"/>
    <w:rsid w:val="00F56547"/>
    <w:rsid w:val="00F610B6"/>
    <w:rsid w:val="00F75CDB"/>
    <w:rsid w:val="00F8298C"/>
    <w:rsid w:val="00F85A15"/>
    <w:rsid w:val="00F86168"/>
    <w:rsid w:val="00F8651B"/>
    <w:rsid w:val="00FA26E7"/>
    <w:rsid w:val="00FA3D30"/>
    <w:rsid w:val="00FA53F3"/>
    <w:rsid w:val="00FB2EDC"/>
    <w:rsid w:val="00FB7183"/>
    <w:rsid w:val="00FC043C"/>
    <w:rsid w:val="00FC2582"/>
    <w:rsid w:val="00FC348D"/>
    <w:rsid w:val="00FD1692"/>
    <w:rsid w:val="00FE0FC9"/>
    <w:rsid w:val="00FE327B"/>
    <w:rsid w:val="00FE69C3"/>
    <w:rsid w:val="00FE71DC"/>
    <w:rsid w:val="00FF0045"/>
    <w:rsid w:val="00FF06DD"/>
    <w:rsid w:val="00FF0CBD"/>
    <w:rsid w:val="00FF0D0F"/>
    <w:rsid w:val="00FF619E"/>
    <w:rsid w:val="00FF748E"/>
    <w:rsid w:val="00FF75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65"/>
    <w:pPr>
      <w:spacing w:line="260" w:lineRule="atLeast"/>
    </w:pPr>
    <w:rPr>
      <w:lang w:eastAsia="en-US"/>
    </w:rPr>
  </w:style>
  <w:style w:type="paragraph" w:styleId="Heading1">
    <w:name w:val="heading 1"/>
    <w:basedOn w:val="Normal"/>
    <w:next w:val="Normal"/>
    <w:link w:val="Heading1Char"/>
    <w:uiPriority w:val="99"/>
    <w:qFormat/>
    <w:rsid w:val="008A4F1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9A0668"/>
    <w:pPr>
      <w:keepNext/>
      <w:spacing w:before="240" w:after="60" w:line="240" w:lineRule="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F16"/>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9C5191"/>
    <w:rPr>
      <w:rFonts w:ascii="Arial" w:hAnsi="Arial" w:cs="Arial"/>
      <w:b/>
      <w:bCs/>
      <w:sz w:val="26"/>
      <w:szCs w:val="26"/>
    </w:rPr>
  </w:style>
  <w:style w:type="paragraph" w:styleId="BodyText">
    <w:name w:val="Body Text"/>
    <w:basedOn w:val="Normal"/>
    <w:link w:val="BodyTextChar"/>
    <w:rsid w:val="009C7765"/>
    <w:pPr>
      <w:spacing w:after="260"/>
    </w:pPr>
  </w:style>
  <w:style w:type="character" w:customStyle="1" w:styleId="BodyTextChar">
    <w:name w:val="Body Text Char"/>
    <w:basedOn w:val="DefaultParagraphFont"/>
    <w:link w:val="BodyText"/>
    <w:rsid w:val="005B3B2C"/>
    <w:rPr>
      <w:sz w:val="20"/>
      <w:szCs w:val="20"/>
      <w:lang w:eastAsia="en-US"/>
    </w:rPr>
  </w:style>
  <w:style w:type="paragraph" w:customStyle="1" w:styleId="TableText">
    <w:name w:val="Table Text"/>
    <w:basedOn w:val="Normal"/>
    <w:uiPriority w:val="99"/>
    <w:rsid w:val="009C7765"/>
    <w:pPr>
      <w:spacing w:before="120" w:after="170"/>
    </w:pPr>
  </w:style>
  <w:style w:type="paragraph" w:customStyle="1" w:styleId="TableColumnHeader">
    <w:name w:val="Table Column Header"/>
    <w:basedOn w:val="TableText"/>
    <w:uiPriority w:val="99"/>
    <w:rsid w:val="009C7765"/>
    <w:rPr>
      <w:b/>
    </w:rPr>
  </w:style>
  <w:style w:type="paragraph" w:styleId="BodyTextIndent">
    <w:name w:val="Body Text Indent"/>
    <w:basedOn w:val="Normal"/>
    <w:link w:val="BodyTextIndentChar"/>
    <w:uiPriority w:val="99"/>
    <w:rsid w:val="009C7765"/>
    <w:pPr>
      <w:spacing w:after="120"/>
      <w:ind w:left="283"/>
    </w:pPr>
  </w:style>
  <w:style w:type="character" w:customStyle="1" w:styleId="BodyTextIndentChar">
    <w:name w:val="Body Text Indent Char"/>
    <w:basedOn w:val="DefaultParagraphFont"/>
    <w:link w:val="BodyTextIndent"/>
    <w:uiPriority w:val="99"/>
    <w:semiHidden/>
    <w:rsid w:val="005B3B2C"/>
    <w:rPr>
      <w:sz w:val="20"/>
      <w:szCs w:val="20"/>
      <w:lang w:eastAsia="en-US"/>
    </w:rPr>
  </w:style>
  <w:style w:type="paragraph" w:styleId="Footer">
    <w:name w:val="footer"/>
    <w:basedOn w:val="Normal"/>
    <w:link w:val="FooterChar"/>
    <w:uiPriority w:val="99"/>
    <w:rsid w:val="00A86746"/>
    <w:pPr>
      <w:tabs>
        <w:tab w:val="center" w:pos="4153"/>
        <w:tab w:val="right" w:pos="8306"/>
      </w:tabs>
    </w:pPr>
  </w:style>
  <w:style w:type="character" w:customStyle="1" w:styleId="FooterChar">
    <w:name w:val="Footer Char"/>
    <w:basedOn w:val="DefaultParagraphFont"/>
    <w:link w:val="Footer"/>
    <w:uiPriority w:val="99"/>
    <w:rsid w:val="005B3B2C"/>
    <w:rPr>
      <w:sz w:val="20"/>
      <w:szCs w:val="20"/>
      <w:lang w:eastAsia="en-US"/>
    </w:rPr>
  </w:style>
  <w:style w:type="character" w:styleId="PageNumber">
    <w:name w:val="page number"/>
    <w:basedOn w:val="DefaultParagraphFont"/>
    <w:uiPriority w:val="99"/>
    <w:rsid w:val="00A86746"/>
    <w:rPr>
      <w:rFonts w:cs="Times New Roman"/>
    </w:rPr>
  </w:style>
  <w:style w:type="paragraph" w:styleId="Header">
    <w:name w:val="header"/>
    <w:basedOn w:val="Normal"/>
    <w:link w:val="HeaderChar"/>
    <w:uiPriority w:val="99"/>
    <w:rsid w:val="00A86746"/>
    <w:pPr>
      <w:tabs>
        <w:tab w:val="center" w:pos="4320"/>
        <w:tab w:val="right" w:pos="8640"/>
      </w:tabs>
    </w:pPr>
  </w:style>
  <w:style w:type="character" w:customStyle="1" w:styleId="HeaderChar">
    <w:name w:val="Header Char"/>
    <w:basedOn w:val="DefaultParagraphFont"/>
    <w:link w:val="Header"/>
    <w:uiPriority w:val="99"/>
    <w:semiHidden/>
    <w:rsid w:val="005B3B2C"/>
    <w:rPr>
      <w:sz w:val="20"/>
      <w:szCs w:val="20"/>
      <w:lang w:eastAsia="en-US"/>
    </w:rPr>
  </w:style>
  <w:style w:type="paragraph" w:styleId="BodyText3">
    <w:name w:val="Body Text 3"/>
    <w:basedOn w:val="Normal"/>
    <w:link w:val="BodyText3Char"/>
    <w:uiPriority w:val="99"/>
    <w:rsid w:val="008E62BA"/>
    <w:pPr>
      <w:spacing w:line="240" w:lineRule="auto"/>
      <w:jc w:val="both"/>
    </w:pPr>
    <w:rPr>
      <w:rFonts w:ascii="Univers" w:hAnsi="Univers"/>
      <w:sz w:val="24"/>
    </w:rPr>
  </w:style>
  <w:style w:type="character" w:customStyle="1" w:styleId="BodyText3Char">
    <w:name w:val="Body Text 3 Char"/>
    <w:basedOn w:val="DefaultParagraphFont"/>
    <w:link w:val="BodyText3"/>
    <w:uiPriority w:val="99"/>
    <w:semiHidden/>
    <w:rsid w:val="005B3B2C"/>
    <w:rPr>
      <w:sz w:val="16"/>
      <w:szCs w:val="16"/>
      <w:lang w:eastAsia="en-US"/>
    </w:rPr>
  </w:style>
  <w:style w:type="paragraph" w:styleId="BalloonText">
    <w:name w:val="Balloon Text"/>
    <w:basedOn w:val="Normal"/>
    <w:link w:val="BalloonTextChar"/>
    <w:uiPriority w:val="99"/>
    <w:semiHidden/>
    <w:rsid w:val="00814D83"/>
    <w:rPr>
      <w:rFonts w:ascii="Tahoma" w:hAnsi="Tahoma" w:cs="Tahoma"/>
      <w:sz w:val="16"/>
      <w:szCs w:val="16"/>
    </w:rPr>
  </w:style>
  <w:style w:type="character" w:customStyle="1" w:styleId="BalloonTextChar">
    <w:name w:val="Balloon Text Char"/>
    <w:basedOn w:val="DefaultParagraphFont"/>
    <w:link w:val="BalloonText"/>
    <w:uiPriority w:val="99"/>
    <w:semiHidden/>
    <w:rsid w:val="005B3B2C"/>
    <w:rPr>
      <w:sz w:val="0"/>
      <w:szCs w:val="0"/>
      <w:lang w:eastAsia="en-US"/>
    </w:rPr>
  </w:style>
  <w:style w:type="paragraph" w:styleId="TOC1">
    <w:name w:val="toc 1"/>
    <w:basedOn w:val="Normal"/>
    <w:next w:val="Normal"/>
    <w:uiPriority w:val="99"/>
    <w:semiHidden/>
    <w:rsid w:val="003A385C"/>
    <w:pPr>
      <w:spacing w:before="120" w:after="240"/>
    </w:pPr>
  </w:style>
  <w:style w:type="paragraph" w:customStyle="1" w:styleId="Default">
    <w:name w:val="Default"/>
    <w:uiPriority w:val="99"/>
    <w:rsid w:val="00F86168"/>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015CC6"/>
    <w:pPr>
      <w:numPr>
        <w:numId w:val="31"/>
      </w:numPr>
      <w:spacing w:line="240" w:lineRule="auto"/>
      <w:contextualSpacing/>
    </w:pPr>
    <w:rPr>
      <w:rFonts w:ascii="Arial" w:hAnsi="Arial"/>
      <w:sz w:val="24"/>
      <w:szCs w:val="24"/>
      <w:lang w:eastAsia="en-GB"/>
    </w:rPr>
  </w:style>
  <w:style w:type="character" w:customStyle="1" w:styleId="ListParagraphChar">
    <w:name w:val="List Paragraph Char"/>
    <w:basedOn w:val="DefaultParagraphFont"/>
    <w:link w:val="ListParagraph"/>
    <w:uiPriority w:val="99"/>
    <w:locked/>
    <w:rsid w:val="00015CC6"/>
    <w:rPr>
      <w:rFonts w:ascii="Arial" w:hAnsi="Arial" w:cs="Times New Roman"/>
      <w:sz w:val="24"/>
      <w:szCs w:val="24"/>
    </w:rPr>
  </w:style>
  <w:style w:type="character" w:styleId="CommentReference">
    <w:name w:val="annotation reference"/>
    <w:basedOn w:val="DefaultParagraphFont"/>
    <w:uiPriority w:val="99"/>
    <w:semiHidden/>
    <w:rsid w:val="00BF4E76"/>
    <w:rPr>
      <w:rFonts w:cs="Times New Roman"/>
      <w:sz w:val="16"/>
      <w:szCs w:val="16"/>
    </w:rPr>
  </w:style>
  <w:style w:type="paragraph" w:styleId="CommentText">
    <w:name w:val="annotation text"/>
    <w:basedOn w:val="Normal"/>
    <w:link w:val="CommentTextChar"/>
    <w:uiPriority w:val="99"/>
    <w:semiHidden/>
    <w:rsid w:val="00BF4E76"/>
  </w:style>
  <w:style w:type="character" w:customStyle="1" w:styleId="CommentTextChar">
    <w:name w:val="Comment Text Char"/>
    <w:basedOn w:val="DefaultParagraphFont"/>
    <w:link w:val="CommentText"/>
    <w:uiPriority w:val="99"/>
    <w:semiHidden/>
    <w:rsid w:val="005B3B2C"/>
    <w:rPr>
      <w:sz w:val="20"/>
      <w:szCs w:val="20"/>
      <w:lang w:eastAsia="en-US"/>
    </w:rPr>
  </w:style>
  <w:style w:type="paragraph" w:styleId="CommentSubject">
    <w:name w:val="annotation subject"/>
    <w:basedOn w:val="CommentText"/>
    <w:next w:val="CommentText"/>
    <w:link w:val="CommentSubjectChar"/>
    <w:uiPriority w:val="99"/>
    <w:semiHidden/>
    <w:rsid w:val="00BF4E76"/>
    <w:rPr>
      <w:b/>
      <w:bCs/>
    </w:rPr>
  </w:style>
  <w:style w:type="character" w:customStyle="1" w:styleId="CommentSubjectChar">
    <w:name w:val="Comment Subject Char"/>
    <w:basedOn w:val="CommentTextChar"/>
    <w:link w:val="CommentSubject"/>
    <w:uiPriority w:val="99"/>
    <w:semiHidden/>
    <w:rsid w:val="005B3B2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832143">
      <w:bodyDiv w:val="1"/>
      <w:marLeft w:val="0"/>
      <w:marRight w:val="0"/>
      <w:marTop w:val="0"/>
      <w:marBottom w:val="0"/>
      <w:divBdr>
        <w:top w:val="none" w:sz="0" w:space="0" w:color="auto"/>
        <w:left w:val="none" w:sz="0" w:space="0" w:color="auto"/>
        <w:bottom w:val="none" w:sz="0" w:space="0" w:color="auto"/>
        <w:right w:val="none" w:sz="0" w:space="0" w:color="auto"/>
      </w:divBdr>
    </w:div>
    <w:div w:id="1315598018">
      <w:marLeft w:val="0"/>
      <w:marRight w:val="0"/>
      <w:marTop w:val="0"/>
      <w:marBottom w:val="0"/>
      <w:divBdr>
        <w:top w:val="none" w:sz="0" w:space="0" w:color="auto"/>
        <w:left w:val="none" w:sz="0" w:space="0" w:color="auto"/>
        <w:bottom w:val="none" w:sz="0" w:space="0" w:color="auto"/>
        <w:right w:val="none" w:sz="0" w:space="0" w:color="auto"/>
      </w:divBdr>
    </w:div>
    <w:div w:id="1315598019">
      <w:marLeft w:val="0"/>
      <w:marRight w:val="0"/>
      <w:marTop w:val="0"/>
      <w:marBottom w:val="0"/>
      <w:divBdr>
        <w:top w:val="none" w:sz="0" w:space="0" w:color="auto"/>
        <w:left w:val="none" w:sz="0" w:space="0" w:color="auto"/>
        <w:bottom w:val="none" w:sz="0" w:space="0" w:color="auto"/>
        <w:right w:val="none" w:sz="0" w:space="0" w:color="auto"/>
      </w:divBdr>
    </w:div>
    <w:div w:id="1315598020">
      <w:marLeft w:val="0"/>
      <w:marRight w:val="0"/>
      <w:marTop w:val="0"/>
      <w:marBottom w:val="0"/>
      <w:divBdr>
        <w:top w:val="none" w:sz="0" w:space="0" w:color="auto"/>
        <w:left w:val="none" w:sz="0" w:space="0" w:color="auto"/>
        <w:bottom w:val="none" w:sz="0" w:space="0" w:color="auto"/>
        <w:right w:val="none" w:sz="0" w:space="0" w:color="auto"/>
      </w:divBdr>
    </w:div>
    <w:div w:id="17688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2773</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Annual report - template</vt:lpstr>
    </vt:vector>
  </TitlesOfParts>
  <Company>Lancashire County Council</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template</dc:title>
  <dc:subject/>
  <dc:creator>Paul Cafferkey</dc:creator>
  <cp:keywords/>
  <dc:description/>
  <cp:lastModifiedBy>User</cp:lastModifiedBy>
  <cp:revision>3</cp:revision>
  <cp:lastPrinted>2013-05-20T07:55:00Z</cp:lastPrinted>
  <dcterms:created xsi:type="dcterms:W3CDTF">2013-05-28T10:33:00Z</dcterms:created>
  <dcterms:modified xsi:type="dcterms:W3CDTF">2013-05-28T14:16:00Z</dcterms:modified>
</cp:coreProperties>
</file>